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E-5076/2021 vom 9. Dezember 2021</w:t>
      </w:r>
    </w:p>
    <w:p>
      <w:r>
        <w:t>Bundesverwaltungsgericht, 2021-12-09, FR</w:t>
      </w:r>
    </w:p>
    <w:p>
      <w:r>
        <w:rPr>
          <w:b/>
        </w:rPr>
        <w:t xml:space="preserve">Quelle: </w:t>
      </w:r>
      <w:r>
        <w:t>https://mcp.opencaselaw.ch/entscheid/bvger_E-5076_2021</w:t>
      </w:r>
    </w:p>
    <w:p>
      <w:r>
        <w:t>FR: TAF E-5076/2021 du 9 décembre 2021</w:t>
      </w:r>
    </w:p>
    <w:p>
      <w:r>
        <w:t>IT: TAF E-5076/2021 del 9 dicembre 2021</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(cf. art. 48 al. 1 PA). Présenté dans la forme (cf. art. 52 al. 1 PA) et dans le délai de 30 jours prévu par l'art. 10 de l'Ordonnance du 1er avril 2020 sur les mesures prises dans le domaine de l'asile en raison du coronavirus (Ordonnance COVID-19 asile ; RS 142.318), le recours est recevable sur le principe.</w:t>
      </w:r>
    </w:p>
    <w:p>
      <w:r>
        <w:rPr>
          <w:b/>
        </w:rPr>
        <w:t>E. 1.3</w:t>
      </w:r>
    </w:p>
    <w:p>
      <w:r>
        <w:t>S'agissant du délai de recours applicable au cas d'espèce, il ressort certes de l'art. 108 al. 3 LAsi cité par le recourant lui-même, que le délai de recours contre les décisions visées à l'art. 40 LAsi en relation avec l'art. 6a al. 2 let. a de cette même loi (décisions d'asile relatives à des ressortissants d'Etats d'origine ou de provenance sûrs, prises sans autres mesures d'instruction) est de cinq jours ouvrables. En l'occurrence, le SEM a traité la demande d'asile du recourant en procédure accélérée et a rendu une décision en matière d'asile selon l'art. 31a al. 4 LAsi. Cela étant, vu la prolongation prévue par l'art. 10 de l'Ordonnance COVID-19 asile, le recourant disposait en réalité d'un délai de recours de 30 jours calendaires et non de 5 jours ouvrables. Ni l'alinéa 1 ni l'alinéa 3 de l'art. 108 LAsi ne sont directement applicables in casu. Si le recourant - qui est représenté par des juristes de Caritas Suisse - ne s'est pas prévalu du délai de recours de 30 jours de l'art. 10 de l'Ordonnance COVID-19 asile, ayant envoyé son écriture le 22 novembre déjà, il a tout de même déposé un recours circonstancié de quelque 15 pages, se prononçant, à suffisance, sur la décision querellée. Dans ces conditions, il apparaît que le recourant n'a subi aucun préjudice de la situation décrite dont il ne s'est d'ailleurs pas plaint. Il n'y a donc pas lieu de l'inviter à compléter son recours.</w:t>
      </w:r>
    </w:p>
    <w:p>
      <w:r>
        <w:rPr>
          <w:b/>
        </w:rPr>
        <w:t>E. 2.1</w:t>
      </w:r>
    </w:p>
    <w:p>
      <w:r>
        <w:t>A titre liminaire, il sied de relever que la demande du recourant tendant à l'octroi de l'effet suspensif à son recours est irrecevable, dit recours déployant un tel effet de par la loi (art. 42 LAsi et art. 55 al. 1 PA, applicables par renvoi des art. 37 LTAF et 6 LAsi).</w:t>
      </w:r>
    </w:p>
    <w:p>
      <w:r>
        <w:rPr>
          <w:b/>
        </w:rPr>
        <w:t>E. 2.2</w:t>
      </w:r>
    </w:p>
    <w:p>
      <w:r>
        <w:t>Il en va de même de sa demande tendant au prononcé de mesure provisionnelles urgentes.</w:t>
      </w:r>
    </w:p>
    <w:p>
      <w:r>
        <w:rPr>
          <w:b/>
        </w:rPr>
        <w:t>E. 3.1</w:t>
      </w:r>
    </w:p>
    <w:p>
      <w:r>
        <w:t>Dans des griefs formels qu'il convient d'examiner en premier lieu, le recourant a reproché au SEM d'avoir violé le devoir d'instruction ainsi que son droit d'être entendu en raison du traitement de sa demande d'asile en procédure accélérée.</w:t>
      </w:r>
    </w:p>
    <w:p>
      <w:r>
        <w:rPr>
          <w:b/>
        </w:rPr>
        <w:t>E. 3.2.1</w:t>
      </w:r>
    </w:p>
    <w:p>
      <w:r>
        <w:t>La procédure administrative est essentiellement régie par la maxime inquisitoire selon laquelle les autorités définissent les faits pertinents et les preuves nécessaires, qu'elles ordonnent et apprécient d'office (art. 12 PA).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3.2.2</w:t>
      </w:r>
    </w:p>
    <w:p>
      <w:r>
        <w:t>En l'espèce, le SEM a correctement instruit la cause et n'a commis aucune négligence procédurale en n'investiguant pas davantage l'état de santé du recourant. En effet, au moment de rendre sa décision, il disposait de suffisamment d'éléments pour procéder d'une manière non arbitraire à un examen de la situation médicale et était fondé à forger sa conviction en l'état du dossier. Ainsi, il figurait au dossier trois rapports médicaux établis respectivement le 22 septembre 2021, le 25 et le 26 octobre 2021 et se déterminant tant sur l'état de santé physique que psychique du recourant. Le premier médecin consulté en Suisse a diagnostiqué un syndrome parkinsonien d'étiologie indéterminée, avec des lombalgies chroniques et une constipation, et a prescrit un traitement médicamenteux et une canne. Aussi, il a recommandé une ergothérapie et un suivi en neurologie (cf. rapport du 22 septembre 2021). Le 25 octobre suivant, une autre médecin a diagnostiqué un syndrome bradykinétique et une marche non ergonomique. Elle a recommandé un DAT-scan pour exclure la composante parkinsonienne et a prescrit une médication différente. Quant à l'état de santé psychique du recourant, il ressortait du formulaire Medic-Help du 26 octobre 2021 qu'il souffrait d'un épisode dépressif moyen, pour lequel du Seroquel® lui a été prescrit. A cela s'ajoute que le recourant a bénéficié de séances de physiothérapie (cf. formulaires Medic-Help des 29 septembre et 6 octobre 2021) et d'un suivi psychologique (cf. lettre de Caritas du 2 novembre 2021). Si les résultats du DAT-scan effectué le 9 novembre 2021 ne figuraient pas encore au dossier, ceux-ci ne sont pas déterminants pour l'issue de la cause. Ainsi que l'a relevé l'intéressé dans son recours, le syndrome bradykinétique est un symptôme de la maladie de parkinson.</w:t>
      </w:r>
    </w:p>
    <w:p>
      <w:r>
        <w:rPr>
          <w:b/>
        </w:rPr>
        <w:t>E. 3.3</w:t>
      </w:r>
    </w:p>
    <w:p>
      <w:r>
        <w:t>Le grief formel en lien avec une violation du droit d'être entendu du recourant en raison du traitement de sa demande d'asile en procédure accélérée doit également être rejeté. Au vu des moyens de preuve, des documents médicaux et des procès-verbaux figurant au dossier, sa demande d'asile pouvait être traitée en procédure accélérée. Aucune mesure d'instruction supplémentaire n'était nécessaire et le cas n'était pas complexe. Quant aux difficultés que le recourant aurait rencontrées lors de ses déplacements dans le centre d'hébergement et pour se rendre auprès de sa représentation juridique, aucun élément concret au dossier ne permet de retenir qu'elles l'auraient empêché de défendre convenablement ses intérêts. Si la représentation juridique a signalé que l'intéressé avait manqué deux rendez-vous au cours de la semaine du 8 novembre 2021, il ressort de l'échange de courriels produit à l'appui du recours, que deux autres entretiens ont été agendés et que le SEM a annoncé, le 2 novembre précédent, des modifications permettant de faciliter à nouveau l'accès aux locaux.</w:t>
      </w:r>
    </w:p>
    <w:p>
      <w:r>
        <w:rPr>
          <w:b/>
        </w:rPr>
        <w:t>E. 3.4</w:t>
      </w:r>
    </w:p>
    <w:p>
      <w:r>
        <w:t>Au vu de ce qui précède, les griefs d'ordre formels sont rejetés et l'affaire peut être tranchée au fond.</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du recourant ne satisfaisaient ni aux exigences de vraisemblance de l'art. 7 LAsi ni aux conditions relatives à la reconnaissance de la qualité de réfugié énoncées à l'art. 3 LAsi.</w:t>
      </w:r>
    </w:p>
    <w:p>
      <w:r>
        <w:rPr>
          <w:b/>
        </w:rPr>
        <w:t>E. 5.2</w:t>
      </w:r>
    </w:p>
    <w:p>
      <w:r>
        <w:t>L'intéressé a fait valoir être persécuté par un ministre qui l'accuse d'être responsable de la mort de son fils, décédé après avoir mangé des denrées achetées dans (...). Il a allégué qu'une procédure pénale avait été ouverte à son encontre, qu'il avait été placé en détention préventive le 27 ou le 28 mai 2019 et que son dossier avait été déféré à un tribunal le 17 juillet 2019 avant qu'il ne soit libéré sous caution le 28 août 2019. Force est toutefois de constater que les déclarations de l'intéressé se limitent à de simples affirmations, fondées sur aucun élément concret. En particulier, le recourant n'a produit aucun moyen de preuve relatif au procès pénal qui aurait été ouvert à son encontre. S'il a remis des photographies représentant des marques sur son corps, rien ne permet de retenir que ces anciennes blessures et ces cicatrices aient été infligées dans les circonstances décrites. En outre, si l'intéressé a déclaré avoir été hospitalisé suite au coup de couteau reçu des hommes de main du ministre avec qui il était en conflit, il n'a fourni aucun document à cet égard.</w:t>
      </w:r>
    </w:p>
    <w:p>
      <w:r>
        <w:rPr>
          <w:b/>
        </w:rPr>
        <w:t>E. 5.3</w:t>
      </w:r>
    </w:p>
    <w:p>
      <w:r>
        <w:t>Ensuite, et ainsi que l'a retenu le SEM à juste titre, le récit du recourant, présenté pourtant à l'occasion d'une seule et même audition, contient d'importantes divergences. Ayant d'abord déclaré qu'il ignorait le nom du fils du ministre, mais connaissait celui du père (cf. procès-verbal [ci-après : p-v] de l'audition du 3 novembre 2021, Q107), il a, plus tard, indiqué le prénom du fils, expliquant avoir pensé, précédemment, qu'il était question du nom du père (cf. ibidem, Q135 et Q136). Incohérente, cette explication n'est pas convaincante. Le recourant s'est également contredit s'agissant de l'état de la procédure pénale ouverte à son encontre. Ayant d'abord affirmé que celle-ci était toujours pendante (cf. ibidem, Q113), il a immédiatement après déclaré que celle-ci était close (cf. ibidem, Q114), avant de revenir sur ses dires et d'indiquer ne pas savoir si la procédure était officiellement terminée ou pas (cf. ibidem, Q115). Il est patent que le recourant a modifié ses réponses au gré des questions posées par l'auditeur du SEM, s'apercevant visiblement du manque de cohérence de celles-ci avec le reste de son récit. De même, l'intéressé n'a pas été constant s'agissant de la plainte pénale que le ministre aurait déposée contre lui et de celle qu'il aurait lui-même déposée, préalablement ou postérieurement, contre ledit ministre (cf. ibidem, Q109 et Q117 à Q122). Aussi, ses propos ont varié s'agissant du but poursuivi par le ministre en question, ayant d'abord déclaré que celui-ci avait été contrarié par sa remise en liberté avant jugement (cf. ibidem, Q100), puis que celui-ci ne voulait pas qu'il soit en prison, préférant un autre type de punition, à savoir une vengeance personnelle (cf. ibidem, Q116), et, enfin, que le but des hommes de main dudit ministre était de lui soutirer de l'argent et de le faire souffrir (cf. ibidem, Q130). Enfin, les déclarations du recourant sont également divergentes quant à la durée de sa détention préventive. S'il a indiqué avoir été arrêté le 27 ou le 28 mai 2019 et avoir été détenu pendant deux mois (cf. ibidem, Q110, Q100 et Q124), il a aussi affirmé avoir été libéré le 28 août 2019 (cf. ibidem, Q125), soit après trois mois.</w:t>
      </w:r>
    </w:p>
    <w:p>
      <w:r>
        <w:rPr>
          <w:b/>
        </w:rPr>
        <w:t>E. 5.4</w:t>
      </w:r>
    </w:p>
    <w:p>
      <w:r>
        <w:t>Par ailleurs, comme l'a relevé le SEM à juste titre, le récit du recourant est demeuré, sur de nombreux points, peu circonstancié, incohérent et même évasif. De la lecture de ses déclarations, il ressort la forte impression d'un récit construit au fil des questions posées par l'auditeur du SEM (cf. p-v de l'audition du 3 novembre 2021, en particulier Q102, Q103, Q109, Q117, Q120, Q121, Q131). Evasifs et incohérents, ses propos ne permettent pas aux autorités d'asile de saisir pour quel motif un ministre aurait finalement préféré se faire justice lui-même, en employant des mesures disparates, telles que décrites par l'intéressé (cf. ibidem, not. Q100, Q116, Q127, Q130). Il n'est pas non plus cohérent que, si le but de ce ministre était d'éliminer le recourant, ses hommes de main aient pour leur part entrepris de lui extorquer de l'argent et de l'intimider par téléphone à réitérées reprises pendant plusieurs mois, ceci jusqu'à ce qu'il décide de quitter le pays (cf. ibidem, Q100 [« pour m'assassiner », « Le ministre a appris que j'étais encore vivant, alors [...] »] et Q130). Dans de telles circonstances, il n'est pas non plus cohérent que le recourant soit parvenu à faire renouveler son passeport, le (...) 2020, puis à quitter la Géorgie de manière régulière par voie aérienne, le (...) 2020, soit neuf mois plus tard, ce d'autant moins s'il avait été, comme allégué, libéré sous caution dans l'attente du prononcé d'un jugement pénal pour meurtre.</w:t>
      </w:r>
    </w:p>
    <w:p>
      <w:r>
        <w:rPr>
          <w:b/>
        </w:rPr>
        <w:t>E. 5.5</w:t>
      </w:r>
    </w:p>
    <w:p>
      <w:r>
        <w:t>Compte tenu de ce qui précède, les déclarations du recourant relatives aux évènements qui auraient conduit à son départ de Géorgie en date du (...) 2020 ne peuvent pas être considérées comme vraisemblables. Partant, celui-ci n'a pas rendu crédible sa crainte de subir des préjudices pertinents en matière d'asile en cas de retour au pays.</w:t>
      </w:r>
    </w:p>
    <w:p>
      <w:r>
        <w:rPr>
          <w:b/>
        </w:rPr>
        <w:t>E. 5.6</w:t>
      </w:r>
    </w:p>
    <w:p>
      <w:r>
        <w:t>L'argument du recourant selon lequel les informations relatives à son état de santé seraient déterminantes pour démontrer la véracité de son récit est infondé. Pour cause, il a indiqué que du permanganate lui avait été injecté dans les veines lors sa séquestration de 3 ou 4 semaines, fin décembre 2019, et, bien qu'il attribue son affection auxdites injections, il a aussi déclaré que les premiers symptômes liés à la maladie de parkinson s'étaient manifestés en novembre 2019, soit un mois plus tôt (cf. p-v de l'audition du 3 novembre 2021, Q58 à Q62 et Q173). Du reste, il demeure que l'ensemble de son récit a été considéré invraisemblable et que les informations médicales au dossier ne sont pas de nature à les rendre crédibles.</w:t>
      </w:r>
    </w:p>
    <w:p>
      <w:r>
        <w:rPr>
          <w:b/>
        </w:rPr>
        <w:t>E. 5.7</w:t>
      </w:r>
    </w:p>
    <w:p>
      <w:r>
        <w:t>Au vu de l'invraisemblance des déclarations du recourant relatives aux évènements qui auraient conduit à son départ de Géorgie, la question de savoir si celles-ci seraient pertinentes en matière d'asile pourrait rester ouverte. Cela étant, c'est à juste titre que le SEM a retenu que les différents préjudices dont se prévaut l'intéressé ne relèvent pas de l'un des motifs d'asile exhaustivement énoncés à l'art. 3 LAsi, à savoir la race, la religion, la nationalité, l'appartenance à un groupe social déterminé ou encore les opinions politiques.</w:t>
      </w:r>
    </w:p>
    <w:p>
      <w:r>
        <w:rPr>
          <w:b/>
        </w:rPr>
        <w:t>E. 5.8</w:t>
      </w:r>
    </w:p>
    <w:p>
      <w:r>
        <w:t>S'agissant de l'appartenance du recourant à l'ethnie yézidi, il peut être renvoyé aux considérants de la décision attaquée. Le recourant n'a à juste titre pas contesté la décision du SEM sur ce point.</w:t>
      </w:r>
    </w:p>
    <w:p>
      <w:r>
        <w:rPr>
          <w:b/>
        </w:rPr>
        <w:t>E. 5.9</w:t>
      </w:r>
    </w:p>
    <w:p>
      <w:r>
        <w:t>Il s'ensuit que le recours doit être rejeté en tant qu'il conteste le refus de la reconnaissance de la qualité de réfugié et de l'octroi de l'asile.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Selon l'art. 83 al. 1 LEI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7.2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 recourant n'a pas rendu vraisemblable qu'en cas de retour en Géorgie, il serait exposé à de sérieux préjudices au sens de l'art. 3 LAsi.</w:t>
      </w:r>
    </w:p>
    <w:p>
      <w:r>
        <w:rPr>
          <w:b/>
        </w:rPr>
        <w:t>E. 8.3</w:t>
      </w:r>
    </w:p>
    <w:p>
      <w:r>
        <w:t>S'agissant des autres engagements de la Suisse relevant du droit international, il sied d'examiner particulièrement si l'art. 3 CEDH, qui interdit la torture, les peines ou traitements inhumains, trouve application dans le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Grande Chambre, requête n° 41738/10, par. 183).</w:t>
      </w:r>
    </w:p>
    <w:p>
      <w:r>
        <w:rPr>
          <w:b/>
        </w:rPr>
        <w:t>E. 8.3.3</w:t>
      </w:r>
    </w:p>
    <w:p>
      <w:r>
        <w:t>En l'espèce, pour les raisons déjà exposées (cf. consid. 5),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de l'intéressé (cf. consid. 9.4.2) n'apparaissent pas, au vu des pièces du dossier, d'une gravité telle que l'exécution de son renvoi serait illicite au sens de la jurisprudence précitée.</w:t>
      </w:r>
    </w:p>
    <w:p>
      <w:r>
        <w:rPr>
          <w:b/>
        </w:rPr>
        <w:t>E. 8.4</w:t>
      </w:r>
    </w:p>
    <w:p>
      <w:r>
        <w:t>Dès lors, l'exécution du renvoi du recourant ne transgresse aucun engagement de la Suisse relevant du droit international, et s'avère donc licite (art. 83 al. 3 LEI ; cf.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En l'occurrence, il est notoire que la Géorgie ne se trouve pas en proie à une guerre, une guerre civile ou une situation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 A cet égard, il est également relevé que ce pays a été désigné par le Conseil fédéral comme Etat sûr (safe country), avec effet au 1er octobre 2019.</w:t>
      </w:r>
    </w:p>
    <w:p>
      <w:r>
        <w:rPr>
          <w:b/>
        </w:rPr>
        <w:t>E. 9.3</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9.4.1</w:t>
      </w:r>
    </w:p>
    <w:p>
      <w:r>
        <w:t>Comme le Tribunal l'a déjà retenu à de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arrêts du Tribunal E-5004/2018 du 17 juillet 2019, pp. 8 à 9 ; E-4107/2015 du 4 décembre 2015 consid. 5.7).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y sont disponibles, notamment dans des réseaux de pharmacies (cf. arrêt du Tribunal D-2325/2015 du 20 avril 2016 consid. 6.3 à 6.5 et réf. cit.). Depuis le mois de février 2013 déjà, l'Universal Health Care Program (UHC) garantit un accès aux services de santé financés par l'Etat à toutes les personnes qui en étaient auparavant dépourvues, de sorte qu'environ 90% de la population en bénéficie (cf. arrêts du Tribunal E-1310/2019 du 28 juin 2019 consid. 6.3.1, D-2325/2015 du 20 avril 2016 consid. 6.3 et les réf. cit.). Les ressortissants géorgiens revenant de l'étranger ont également accès à ce nouveau système de santé et sont mis automatiquement au bénéfice d'une assurance de soins (cf. arrêt du Tribunal E-1310/2019 du 28 juin 2019 consid. 6.3.6). Depuis 2017, l'UHC prend en considération le revenu de chacun pour déterminer le montant de la prise en charge financière; ainsi, les personnes disposant d'un revenu élevé sont exclues de l'assurance universelle, tandis que celles, au revenu moyen, y ont un accès limité. Par ailleurs, les groupes vulnérables, les enfants et les retraités bénéficient de toutes les prestations de l'UHC (cf. arrêt du Tribunal E-6650/2018 du 19 mars 2019 consid. 3.6.3 et réf. cit.). Il est également relevé que, depuis juillet 2017, le gouvernement a mis en place, en faveur des personnes socialement vulnérables, un programme de subvention de médicaments pour des maladies chroniques, dont le parkinson, et que depuis juillet 2019, l'accès à ce programme a été ouvert aux personnes handicapées ainsi qu'aux retraités (cf. Recherche rapide de l'analyse-pays de l'Organisation Suisse d'aide aux réfugiés, Géorgie : accès à divers soins et traitements médicaux, Berne, 2020). La subvention des médicaments pour le traitement du parkinson se monte en l'occurrence à 75% (cf. ibidem). Par ailleurs, les personnes souffrant d'un handicap et appartenant soit au groupe I (handicap sévère), soit au groupe II (handicap modéré à significatif), sont éligibles pour obtenir une rente d'invalidité (cf. arrêt du Tribunal E-7415/2018 du 12 décembre 2019, p. 10 et réf. cit.). Il existe également un programme d'aide sociale pour les personnes vivant sous le seuil de pauvreté qui prévoit notamment une couverture d'assurance-maladie gratuite (cf. arrêt du Tribunal E-2340/2019 du 22 mai 2019 consid. 6. et 6.6).</w:t>
      </w:r>
    </w:p>
    <w:p>
      <w:r>
        <w:rPr>
          <w:b/>
        </w:rPr>
        <w:t>E. 9.4.2</w:t>
      </w:r>
    </w:p>
    <w:p>
      <w:r>
        <w:t>Pour rappel, sur le plan somatique, le premier médecin consulté par le recourant a diagnostiqué un syndrome parkinsonien d'étiologie indéterminée, avec des lombalgies chroniques et une constipation. Ce médecin a prescrit un traitement médicamenteux à base de Felden® lingual et de Movicol®, recommandant de l'ergothérapie et un suivi en neurologie (cf. rapport médical du 22 septembre 2021). Le 25 octobre 2021, une autre praticienne a diagnostiqué un syndrome bradykinétique et une marche non ergonomique et a recommandé la réalisation d'un DAT-scan pour exclure la composante parkinsonienne. Indiquant comme médication le Madopar® et le Cycladol®, elle a préconisé l'arrêt du Madopar® (cf. formulaire Medic-Help du 25 octobre 2021). Enfin, il ressort du rapport médical du 8 décembre 2021 que des troubles dyskinétiques mal systématisés (piste fonctionnelle probable) ont été diagnostiqués chez l'intéressé. Ses médecins ont recommandé une tentative de rééducation en physiothérapie ambulatoire, pour retrouver une autonomie dans les activités de la vie quotidienne. Sur le plan psychique, il appert que le recourant souffre d'un épisode dépressif moyen, traité avec du Seroquel® (cf. formulaire Medic-Help du 26 octobre 2021).</w:t>
      </w:r>
    </w:p>
    <w:p>
      <w:r>
        <w:rPr>
          <w:b/>
        </w:rPr>
        <w:t>E. 9.4.3</w:t>
      </w:r>
    </w:p>
    <w:p>
      <w:r>
        <w:t>Compte tenu des atteintes du recourant et vu l'analyse de situation exposée ci-dessus s'agissant des structures médicales disponibles en Géorgie et portant tant sur les possibilités de soins qu'à la prise en charge financière de ceux-ci, c'est le lieu d'admettre que l'intéressé pourra poursuivre dans son pays le suivi psychologique et médical entamé en Suisse et se procurer les médicaments nécessaires au traitement de ses affections physiques et psychiques. Dans ces conditions, on ne saurait considérer qu'en cas d'exécution du renvoi en Géorgie,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consid. 8.3 et réf. cit.). Une fois dûment enregistré dans son pays, l'intéressé pourra effectuer, sans difficulté particulière, les démarches nécessaires pour bénéficier de prestations médicales et sociales. A noter que, en cas de péjoration de sa maladie physique et de situation de handicap, il pourra requérir l'octroi d'une rente d'invalidité (cf. arrêt du Tribunal E-7415/2018 précité).</w:t>
      </w:r>
    </w:p>
    <w:p>
      <w:r>
        <w:rPr>
          <w:b/>
        </w:rPr>
        <w:t>E. 9.4.4</w:t>
      </w:r>
    </w:p>
    <w:p>
      <w:r>
        <w:t>En outre, le recourant pourra également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9.4.5</w:t>
      </w:r>
    </w:p>
    <w:p>
      <w:r>
        <w:t>Enfin, si le médecin consulté par l'intéressé a indiqué qu'un suivi était nécessaire pour évaluer la thymie et le risque suicidaire, il n'a toutefois pas signalé la présence d'un tel risque actuellement (cf. formulaire Medic-Help du 26 octobre 2021). Cela étant, il est néanmoins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(cf. arrêt du Tribunal E-5384/2017 du 4 septembre 2018 consid. 4.3.3).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arrêts du Tribunal E-1248/2017 du 8 août 2017 consid. 7.05 ; E-859/2017 du 11 juillet 2017 p. 7).</w:t>
      </w:r>
    </w:p>
    <w:p>
      <w:r>
        <w:rPr>
          <w:b/>
        </w:rPr>
        <w:t>E. 9.4.6</w:t>
      </w:r>
    </w:p>
    <w:p>
      <w:r>
        <w:t>Par conséquent, l'état de santé du recourant ne constitue pas un obstacle insurmontable de nature à rendre l'exécution de son renvoi inexigible, pour des motifs médicaux, au sens de l'art. 83 al. 4 LEI. A cet égard, les différents arguments développés dans le recours ne permettent pas de parvenir à une conclusion différente.</w:t>
      </w:r>
    </w:p>
    <w:p>
      <w:r>
        <w:rPr>
          <w:b/>
        </w:rPr>
        <w:t>E. 9.5</w:t>
      </w:r>
    </w:p>
    <w:p>
      <w:r>
        <w:t>Par ailleurs, il y a lieu d'admettre que le recourant, qui dispose d'une expérience professionnelle dans le magasin de son père et a un passé d'entraineur sportif, sera en mesure, nonobstant ses problèmes de santé, de se réinstaller dans son pays sans devoir affronter des obstacles insurmontables. Lors du retour dans son pays, il pourra en particulier compter sur la présence et le soutien de son père, de son neveu et de sa tante, restés au pays (cf. p-v de l'audition du 3 novembre 2021, Q27 à Q29). S'il a déclaré que son père et lui-même avaient vendu leurs logements, cette affirmation s'insère dans le cadre d'un récit qui a été considéré invraisemblable (cf. consid. 5 ci-avant). Ainsi, il n'y a pas lieu de considérer que l'intéressé, qui est originaire de B._______, ne trouvera pas un point de chute, à tout le moins chez un membre de sa famille, lors de son retour en Géorgie. Quant à sa compagne vivant en C._______, il y a lieu d'admettre que celle-ci pourra le soutenir à tout le moins financièrement, comme elle l'a déjà fait par le passé (cf. p-v de l'audition du 3 novembre 2021, Q44 et Q49).</w:t>
      </w:r>
    </w:p>
    <w:p>
      <w:r>
        <w:rPr>
          <w:b/>
        </w:rPr>
        <w:t>E. 9.6</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A noter que la situation actuelle liée à la propagation de la maladie à coronavirus (Covid-19) dans le monde ne justifie pas de sursoir au présent prononcé.</w:t>
      </w:r>
    </w:p>
    <w:p>
      <w:r>
        <w:rPr>
          <w:b/>
        </w:rPr>
        <w:t>E. 11</w:t>
      </w:r>
    </w:p>
    <w:p>
      <w:r>
        <w:t>Dès lors, la décision attaquée est conforme au droit fédéral, le SEM ayant par ailleurs établi de manière exacte et complète l'état de fait pertinent (art. 106 al. 1 LAsi) et, dans la mesure où ce grief peut être examiné (art. 49 PA, cf. ATAF 2014/26 consid. 5), n'est pas inopportune. En conséquence, le recours est rejeté.</w:t>
      </w:r>
    </w:p>
    <w:p>
      <w:r>
        <w:rPr>
          <w:b/>
        </w:rPr>
        <w:t>E. 12.1</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vu l'indigence du recourant, il y a lieu d'admettre sa demande d'assistance judiciaire partielle, en application de l'art. 65 al. 1 PA, et de statuer sans frais.</w:t>
      </w:r>
    </w:p>
    <w:p>
      <w:r>
        <w:rPr>
          <w:b/>
        </w:rPr>
        <w:t>E. 12.2</w:t>
      </w:r>
    </w:p>
    <w:p>
      <w:r>
        <w:t>Vu le présent prononcé, la demande tendant à l'exemption d'une avance de frais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