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E-5074/2021 vom 15. März 2022</w:t>
      </w:r>
    </w:p>
    <w:p>
      <w:r>
        <w:t>Bundesverwaltungsgericht, 2022-03-15, DE</w:t>
      </w:r>
    </w:p>
    <w:p>
      <w:r>
        <w:rPr>
          <w:b/>
        </w:rPr>
        <w:t xml:space="preserve">Quelle: </w:t>
      </w:r>
      <w:r>
        <w:t>https://mcp.opencaselaw.ch/entscheid/bvger_E-5074_2021</w:t>
      </w:r>
    </w:p>
    <w:p>
      <w:r>
        <w:t>FR: TAF E-5074/2021 du 15 mars 2022</w:t>
      </w:r>
    </w:p>
    <w:p>
      <w:r>
        <w:t>IT: TAF E-5074/2021 del 15 marzo 2022</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[SR 142.31]; Art. 83 Bst. d Ziffer 1 BGG). Der Beschwerdeführer ist als Ver- fügungsadressat zur Beschwerdeführung legitimiert (Art. 48 Abs. 1 VwVG). Auf die frist- und formgerecht eingereichte Beschwerde ist einzutreten (Art. 108 Abs. 2 AsylG und Art. 52 Abs.1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E-5074/2021 Seite 5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kommt in der angefochtenen Verfügung zum Schluss, die Vorbringen des Beschwerdeführers hielten den Anforderungen an die Glaubhaftigkeit gemäss Art. 7 AsylG nicht stand. Namentlich seien seine Ausführungen zur gelebten Beziehung mit dem Mädchen pauschal, unsub- stantiiert und nicht nachvollziehbar. So habe er die geltend gemachten Widrigkeiten, das heisst den Umstand der Verlobung des Mädchens mit einem anderen Mann, nicht näher konkretisieren und auch keine konkreten Bemühungen aufzeigen können, um trotzdem mit dem Mädchen eine ge- meinsame Zukunft aufzubauen. Obwohl die Beziehung zwei Jahre gedau- ert haben soll, gelinge es ihm nicht, detailliert darüber zu berichten. Insbe- sondere gebe er an, täglich mit dem Mädchen telefoniert zu haben, habe insgesamt jedoch keine konkreten Gesprächsinhalte widergeben können und beschränke sich auf floskelhafte Ausführungen. Weiter sei sein Verhal- ten bezüglich des nächtlichen Besuchs beim Mädchen nicht nachvollzieh- bar. Es sei namentlich nicht nachvollziehbar, dass er trotz der ihm bewuss- ten hohen Gefahr eines solchen Akts ohne jegliche Sicherheitsmassnah- men in das Haus des Mädchens eingestiegen sei. Seine diesbezügliche Begründung, er habe dies der Liebe wegen getan, wirke pauschal und aus- weichend und lasse nicht auf einen Erlebnisbezug schliessen. Auch wür- den seine Angaben zum Ablauf des nächtlichen Besuchs keine Realkenn- zeichen aufweisen, weshalb seine Fluchtgeschichte sich nicht wie von ihm vorgetragen ereignet habe. Sodann seien auch die geschilderten Ereig- nisse nach dieser Nacht nicht glaubhaft. Er habe telefonisch von seinem Bruder erfahren, dass der Ehemann des Mädchens dieses noch in der glei- chen Nacht getötet habe und anlässlich einer Familienzusammenkunft, an welchem auch der Vater des Beschwerdeführers anwesend gewesen sei, seine Tötung als Blutrache beschlossen worden sei. Es bleibe hier unklar, inwiefern der Bruder diese Informationen habe erhalten können, zumal er gemäss Angaben des Beschwerdeführers nicht persönlich dabei gewesen sei und sich von der Familie ferngehalten habe. Schliesslich erscheine auch sein Vorbringen, deswegen von den Behörden gesucht zu werden, nicht glaubhaft. Zum eingereichten Haftbefehl habe er keine Hintergrund- informationen geben können, weder zum konkreten Tatvorwurf, noch zur Ausstellung desselben oder zu allfälligen behördlichen Suchbemühungen.</w:t>
      </w:r>
    </w:p>
    <w:p>
      <w:r>
        <w:t>E-5074/2021 Seite 6 Im Übrigen sei dem Haftbefehl, auch im Fall der Echtheit des Dokuments, geringe Beweiskraft beizumessen, da im Irak auch amtliche Dokumente gegen Bezahlung erhältlich gemacht werden könnten.</w:t>
      </w:r>
    </w:p>
    <w:p>
      <w:r>
        <w:rPr>
          <w:b/>
        </w:rPr>
        <w:t>E. 5.2</w:t>
      </w:r>
    </w:p>
    <w:p>
      <w:r>
        <w:t>Dem hält der Beschwerdeführer im Wesentlichen das Folgende entge- gen: Es sei auch heute noch schwierig für ihn, über die Beziehung mit dem Mädchen zu sprechen, da Männer in seiner Kultur nicht über ihre Liebes- gefühle reden, weshalb er die Beziehung während zwei Jahren auch ge- heim gehalten und niemand davon gewusst habe. Aus diesem Grund sei es ihm schwergefallen, der Vorinstanz über das Erlebte zu berichten. Bei einer Rückkehr in den Irak sei sein Leben gefährdet, da die Schwiegerfa- milie des Mädchens nach seinem Leben trachte. Der Schwiegervater habe als Parteifunktionär grossen Einfluss und sei in der Lage, diesen Ehren- mord in die Tat umzusetzen, was sich auch am erwirkten Haftbefehl gegen ihn zeige. Er verstehe nicht, was für Details er zu den Telefongesprächen mit dem Mädchen hätte erzählen sollen. Es hätte sich um Gespräche zwi- schen einem jungen verliebten Paar gehandelt. Sie hätten sich gegenseitig über ihren Tag erzählt, liebe Worte und Fotos ausgetauscht. Dies würde sich nicht von entsprechenden Beziehungen zwischen jungen Leuten in der Schweiz unterscheiden. In der besagten Nacht, als das Mädchen ein Treffen bei sich zuhause vorgeschlagen habe, sei er sich der Risiken be- wusst gewesen und habe auch eine schlechte Vorahnung gehabt. Er habe das Mädchen aber nicht enttäuschen wollen. Er wisse, dass sein Verhalten im Nachhinein unverständlich erscheine und hätte er gewusst, was dies für Konsequenzen nach sich ziehen würde, hätte er zweimal überlegt. Weiter habe er in der Anhörung erklärt, wie er nur mithilfe seines Bruders die Flucht aus dem Irak geschafft habe. Sein Bruder sei sein Ersatzvater ge- wesen und er sei im vollsten Vertrauen seinen Instruktionen gefolgt, ohne nachzufragen oder zu diskutieren. Sämtliche Informationen über die Ereig- nisse nach der Flucht, namentlich die Tötung des Mädchens, habe er vom Bruder erfahren. Dieser habe ihm dabei keine Details erzählt, vermutlich um ihn zu schützen und um ihn zu ermutigen, dies alles zu vergessen. Er wisse nur, dass die Polizei nach ihm gesucht habe.</w:t>
      </w:r>
    </w:p>
    <w:p>
      <w:r>
        <w:rPr>
          <w:b/>
        </w:rPr>
        <w:t>E. 6.1</w:t>
      </w:r>
    </w:p>
    <w:p>
      <w:r>
        <w:t>Nach Durchsicht der Akten ist festzustellen, dass die Vorinstanz zum zutreffenden Schluss gelangt ist, die Vorbringen des Beschwerdeführers würden den Anforderungen an das Glaubhaftmachen gemäss Art. 7 AsylG nicht standhalten. Es kann deshalb vorab auf die entsprechenden Erwä- gungen in der angefochtenen Verfügung verwiesen werden.</w:t>
      </w:r>
    </w:p>
    <w:p>
      <w:r>
        <w:t>E-5074/2021 Seite 7</w:t>
      </w:r>
    </w:p>
    <w:p>
      <w:r>
        <w:rPr>
          <w:b/>
        </w:rPr>
        <w:t>E. 6.2</w:t>
      </w:r>
    </w:p>
    <w:p>
      <w:r>
        <w:t>Bereits die Schilderungen des Beschwerdeführers zur Frage, wie die Beziehung mit dem Mädchen praktisch gelebt worden sei, erscheinen sehr oberflächlich, inhaltslos und ohne Detailreichtum. Er führt lediglich aus, er habe das Mädchen an einer Hochzeit kennengelernt und während der nächsten zwei Jahre sehr häufig mit ihr telefoniert und Textnachrichten ausgetauscht. Sie hätten sich verliebt und entschieden, trotz der schwieri- gen Umstände – das Mädchen sei bereits einem anderen Mann verspro- chen worden – gemeinsam eine Zukunft aufzubauen (SEM-eAkten, 1100186-21/18, F91–F93). Weitere Details zur angeblichen Beziehung lässt er in seinen Ausführungen gänzlich vermissen, etwa zum konkreten Inhalt der Telefongespräche und Nachrichten, allfälligen Treffen zwischen den beiden oder zum Auftreten von spezifischen Ereignissen während die- ser Zeit. Es wäre zu erwarten gewesen, dass der Beschwerdeführer hierzu konkrete Angaben unter Schilderung seiner jeweiligen emotionalen Ge- fühlslagen macht, zumal die Beziehung offenbar zwei Jahre gedauert habe. Auch hinsichtlich der erneuten Kontaktaufnahme nach der Hochzeit des Mädchens mit dem anderen Mann vermag der Beschwerdeführer nicht im Ansatz über den Inhalt der geltend gemachten, täglichen Telefongesprä- che zu berichten. Er gibt in inhaltsleerer und oberflächlicher Weise an, er und das Mädchen hätten sich gegenseitig normale Fragen gestellt, liebe Worte ausgetauscht und über Erinnerungen gesprochen (SEM-eAkten, 1100186-21/18, F96). Aufgrund des Gesagten sind bereits zum Bestehen dieser Beziehung berechtigte Zweifel an der Glaubhaftigkeit seiner diesbe- züglichen Aussagen vorhanden. Was sodann das fluchtauslösende Ereignis betrifft, das besagte nächtliche Treffen mit dem Mädchen im Haus der Schwiegerfamilie, ist in Überein- stimmung mit der Vorinstanz festzustellen, dass es seinen entsprechenden Aussagen an genügenden Realkennzeichen fehlt. Er schildert dieses Er- eignis insgesamt nüchtern chronologisch, erwähnt keinerlei nennenswerte Details, Ausgefallenheiten oder Nebensächlichkeiten, gibt keine Interaktio- nen, namentlich den Inhalt des Gespräches zwischen ihm und dem Mäd- chen in der Küche wider und den Aussagen ist auch die Entwicklung seiner inneren Gefühls- und Emotionslage weitgehend nicht zu entnehmen (SEM- eAkten, 1100186-21/18, F40). Exemplarisch hierfür ist namentlich, dass der Beschwerdeführer auch auf ausdrückliche Nachfrage hin nicht ange- ben konnte, was er und das Mädchen an diesem nächtlichen Treffen mit- einander gesprochen haben. Er gab lediglich an, sie hätten sich umarmt, die Hände gehalten und einige Wörter miteinander geredet (SEM-eAkten, 1100186-21/18, F43). Bei Annahme der Glaubhaftigkeit der Beziehung und des vorgebrachten nächtlichen Treffens wäre jedoch zu erwarten gewesen,</w:t>
      </w:r>
    </w:p>
    <w:p>
      <w:r>
        <w:t>E-5074/2021 Seite 8 dass er zumindest den groben Gesprächsinhalt hätte widergeben können, zumal das Treffen bis zur Intervention der Schwiegermutter gemäss seinen Angaben fünf bis zehn Minuten gedauert haben soll (SEM-eAkten, 1100186-21/18, F40). Was der Beschwerdeführer hiergegen auf Beschwerdeebene einwendet, vermag nicht zu überzeugen. Er beschränkt sich im Wesentlichen auf die Wiederholung seiner bereits im Asylverfahren getätigten Ausführungen, ohne sich substantiiert mit den Erwägungen in der angefochtenen Verfü- gung auseinanderzusetzen. Schliesslich ist auch der eingereichte Haftbefehl nicht geeignet, die be- hauptete Verfolgung zu belegen. Die Authentizität dieses Dokuments ist zu bezweifeln. Es fällt namentlich auf, dass der Deliktsvorwurf konfus er- scheint und damit beschrieben wird, aufgrund der Liebe und Leidenschaft zwischen ihm und dem verlobten Mädchen sei sie von ihrer Familie umge- bracht worden. Als Tatbestand wird jedoch auf Art. 406 des irakischen Strafgesetzbuches verwiesen, welcher die vorsätzliche Tötung zum Ge- genstand hat (vgl. UNHCR, refworld, Iraq: penal code, &lt;https://www.refworld.org/docid/452524304.html&gt;, abgerufen am 26.01.2022). Ausserdem bleiben die wesentlichen Hintergründe des Haft- befehls unklar und der Beschwerdeführer vermochte diese auch auf Be- schwerdeebene nicht plausibel zu begründen, insbesondere der Zeitpunkt und die Modalitäten der Ausstellung dieses Dokuments oder allfällige be- hördliche Massnahmen in diesem Zusammenhang. Wenn der Beschwer- deführer diesbezüglich einwendet, sein Bruder habe ihm keine Details zum Strafbefehl mitgeteilt, um ihn zu schützen und keine Sorgen zu bereiten, ist dies als lebensfremde Schutzbehauptung zu qualifizieren. Im Übrigen handelt es sich beim eingereichten Haftbefehl lediglich um eine Kopie, wel- che nicht fälschungssicher ist. Ausserdem ist darauf hinzuweisen, dass im Irak grundsätzlich sämtliche, auch staatliche, Dokumente käuflich sind, weshalb dem Haftbefehl nur ein geringer Beweiswert zukommt.</w:t>
      </w:r>
    </w:p>
    <w:p>
      <w:r>
        <w:rPr>
          <w:b/>
        </w:rPr>
        <w:t>E. 6.3</w:t>
      </w:r>
    </w:p>
    <w:p>
      <w:r>
        <w:t>Zusammenfassend ist festzuhalten, dass es dem Beschwerdeführer nicht gelungen ist, einen flüchtlingsrechtlich relevanten Sachverhalt glaub- haft darzulegen. Die Vorinstanz hat das Asylgesuch zu Recht abgelehnt.</w:t>
      </w:r>
    </w:p>
    <w:p>
      <w:r>
        <w:rPr>
          <w:b/>
        </w:rPr>
        <w:t>E. 7</w:t>
      </w:r>
    </w:p>
    <w:p>
      <w:r>
        <w:t>Gemäss Art. 44 AsylG verfügt das SEM in der Regel die Wegweisung aus der Schweiz, wenn es das Asylgesuch ablehnt oder nicht darauf eintritt.</w:t>
      </w:r>
    </w:p>
    <w:p>
      <w:r>
        <w:t>E-5074/2021 Seite 9 Der Beschwerdeführer verfügt weder über eine ausländerrechtliche Aufent- haltsbewilligung noch über einen Anspruch auf Erteilung einer solchen (vgl. BVGE 2009/50 E. 9 S. 733). Die Wegweisung wurde demnach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Nach Art. 83 Abs. 3 AIG ist der Vollzug nicht zulässig, wenn völker- rechtliche Verpflichtungen der Schweiz eine Weiterreise der Ausländerin oder des Ausländers in den Heimat-, Herkunfts- oder einen Drittstaat ent- gegenstehen. Vorliegend kommt der Beschwerdeführerin keine Flücht- lingseigenschaft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den Irak dort mit be- achtlicher Wahrscheinlichkeit einer nach Art. 3 EMRK oder Art. 1 FoK ver- botenen Strafe oder Behandlung ausgesetzt wäre. Der Vollzug der Weg- weisung ist zulässig.</w:t>
      </w:r>
    </w:p>
    <w:p>
      <w:r>
        <w:rPr>
          <w:b/>
        </w:rPr>
        <w:t>E. 8.3</w:t>
      </w:r>
    </w:p>
    <w:p>
      <w:r>
        <w:t>Nach Art. 83 Abs. 4 AIG kann der Vollzug für Ausländerinnen und Aus- länder unzumutbar sein, wenn sie im Heimat- oder Herkunftsstaat auf Grund von Situationen wie Krieg, Bürgerkrieg, allgemeiner Gewalt und me- dizinischer Notlage konkret gefährdet sind. Im Referenzurteil E-3737/2015 vom 14. Dezember 2015 bestätigte das Bundesverwaltungsgericht seine in BVGE 2008/5 publizierte Praxis zur Frage der Zumutbarkeit des Wegweisungsvollzugs in die ARK (Autonome Republik Kurdistan; umfassend seit Anfang 2015 die Provinzen Dohuk, Er- bil, Suleimaniya sowie der von letzterer abgespalteten Provinz Halabja). Demnach sei nicht von einer Situation allgemeiner Gewalt im Sinne von</w:t>
      </w:r>
    </w:p>
    <w:p>
      <w:r>
        <w:t>E-5074/2021 Seite 10 Art. 83 Abs. 4 AIG auszugehen. Diese Einschätzung hat nach wie vor Gül- tigkeit. Die langjährige Praxis im Sinne von BVGE 2008/5 für aus dem ARK- Gebiet stammende Kurdinnen und Kurden bleibt somit weiterhin anwend- bar. Besonderes Gewicht ist angesichts der Belastung der behördlichen Infrastrukturen durch im Irak intern Vertriebene («Internally Displaced Per- sons» [IDPs]) dem Vorliegen begünstigender individueller Faktoren beizu- messen (u.a. Urteile des BVGer D-2775/2020 vom 8. Juli 2020 E. 8.3.2; D- 787/2020 vom 17. April 2020 E. 7.3; D-7151/2018 vom 25. Februar 2020 E. 7.4.4). Die Anordnung des Wegweisungsvollzugs setzt insbesondere voraus, dass die betreffenden Personen ursprünglich aus der Region stam- men oder längere Zeit dort gelebt haben und dort über ein soziales Bezie- hungsnetz (Familie, Verwandtschaft oder Bekanntenkreis) oder über Be- ziehungen zu den herrschenden Parteien verfügen (BVGE 2008/5 E. 7.5; ausführlich zudem Urteil des BVGer E-6430/2016 vom 31. Januar 2018 E. 6.4.1 ff.). Es sind auch keine individuellen Gründe ersichtlich, die gegen einen Voll- zug der Wegweisung sprechen würden. Der Beschwerdeführer stammt aus der Provinz C._______ und hat bis zu seiner Ausreise sein ganzes Leben dort verbracht. Er hat die Schule zwar nur bis zur siebten Klasse besucht, hat danach jedoch den Anschluss an den Arbeitsmarkt gefunden und zu- nächst bei einem Autohändler und später in der Erdölindustrie gearbeitet (SEM-eAkten, 1100186-21/18, F19–F23). Gemäss seinen Angaben hat er damit ein gutes Leben geführt (SEM-eAkten, 1100186-21/18, F56). Auch hat der Beschwerdeführer mit seinem älteren Bruder, welcher für ihn als Ersatzvater fungierte, sowie seiner Mutter, einem weiteren Bruder und vier Schwestern, die allesamt noch in D._______ leben, ein tragbares familiä- res Netzwerk in der Heimat. Zudem ist er noch sehr jung und leidet unter keinen gesundheitlichen Beeinträchtigungen (SEM-eAkten, 1100186- 21/18, F5). Damit verfügt der Beschwerdeführer über geeignete Voraus- setzungen zur Reintegration sowohl in beruflicher wie auch in gesellschaft- licher und sozialer Hinsicht. Demgemäss erweist sich der Vollzug der Wegweisung in genereller und individueller Hinsicht als zumutbar.</w:t>
      </w:r>
    </w:p>
    <w:p>
      <w:r>
        <w:rPr>
          <w:b/>
        </w:rPr>
        <w:t>E. 8.4</w:t>
      </w:r>
    </w:p>
    <w:p>
      <w:r>
        <w:t>Schliesslich obliegt es dem Beschwerdeführer, sich bei der zuständi- gen Vertretung des Heimatstaats die für eine Rückkehr notwendigen Rei- sedokumente zu beschaffen (vgl. Art. 8 Abs. 4 AsylG und dazu auch BVGE 2008/34 E. 12), weshalb der Vollzug der Wegweisung auch als möglich zu bezeichnen ist (Art. 83 Abs. 2 AIG).</w:t>
      </w:r>
    </w:p>
    <w:p>
      <w:r>
        <w:t>E-5074/2021 Seite 11</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von Fr. 750.– (Art. 1– 3 des Reglements vom 21. Februar 2008 über die Kosten und Ent- schädigungen vor dem Bundesverwaltungsgericht [VGKE], SR 173.320.2) dem Beschwerdeführer aufzuerlegen (Art. 63 Abs. 1 VwVG). Der am</w:t>
      </w:r>
    </w:p>
    <w:p>
      <w:r>
        <w:rPr>
          <w:b/>
        </w:rPr>
        <w:t>E. 15</w:t>
      </w:r>
    </w:p>
    <w:p>
      <w:r>
        <w:t>Dezember 2021 einbezahlte Kostenvorschuss ist zur Begleichung der Verfahrenskosten zu verwenden.</w:t>
      </w:r>
    </w:p>
    <w:p>
      <w:r>
        <w:t>(Dispositiv nächste Seite)</w:t>
      </w:r>
    </w:p>
    <w:p>
      <w:r>
        <w:t>E-5074/2021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