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E-5074/2015 vom 29. Januar 2016</w:t>
      </w:r>
    </w:p>
    <w:p>
      <w:r>
        <w:t>Bundesverwaltungsgericht, 2016-01-29, DE</w:t>
      </w:r>
    </w:p>
    <w:p>
      <w:r>
        <w:rPr>
          <w:b/>
        </w:rPr>
        <w:t xml:space="preserve">Quelle: </w:t>
      </w:r>
      <w:r>
        <w:t>https://mcp.opencaselaw.ch/entscheid/bvger_E-5074_2015</w:t>
      </w:r>
    </w:p>
    <w:p>
      <w:r>
        <w:t>FR: TAF E-5074/2015 du 29 janvier 2016</w:t>
      </w:r>
    </w:p>
    <w:p>
      <w:r>
        <w:t>IT: TAF E-5074/2015 del 29 gennaio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Vorliegens einer lesbaren Empfangsbestätigung nicht fest. Da die Beweislast für die Zustellung an die Partei der eröffnenden Behörde obliegt (vgl. Moser/Beusch/Kneubühler, Prozessieren vor dem Bundesverwaltungsgericht, Basel 2013, 2. Aufl., Rz. 2.112, S. 76), ist zu Gunsten der Beschwerdeführenden davon auszugehen, dass die Beschwerde rechtzeitig erfolgt ist.</w:t>
      </w:r>
    </w:p>
    <w:p>
      <w:r>
        <w:rPr>
          <w:b/>
        </w:rPr>
        <w:t>E. 1.3</w:t>
      </w:r>
    </w:p>
    <w:p>
      <w:r>
        <w:t>Die Beschwerdeführenden sind als Verfügungsadressaten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die vom Beschwerdeführer geltend gemachte Furcht vor Verfolgung durch die sri-lankischen Sicherheitskräfte vermöge die Wahrscheinlichkeit einer einreiserelevanten Verfolgung nicht zu begründen. Die Vorkommnisse der Jahre 2009 bis 2013, die er schildere, seien im heutigen Zeitpunkt nicht mehr einreiserelevant. Die geltend gemachten Befragungen durch die Sicherheitskräfte, die alle zwei Monate stattfinden würden, würden aufgrund der mangelnden Intensität keinen Verfolgungscharakter im Sinne von Art. 3 AsylG aufweisen.</w:t>
      </w:r>
    </w:p>
    <w:p>
      <w:r>
        <w:rPr>
          <w:b/>
        </w:rPr>
        <w:t>E. 5.2</w:t>
      </w:r>
    </w:p>
    <w:p>
      <w:r>
        <w:t>Das Bundesverwaltungsgericht anerkennt,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Gemäss dem vorgenannten Entscheid unterliegen Personen, die auch nach Beendigung des Bürgerkriegs verdächtigt werden, mit den LTTE in Verbindung zu stehen beziehungsweise gestanden zu sein, einer erhöhten Verfolgungsgefahr. In der angefochtenen Verfügung hat die Vorinstanz ausführlich dargelegt, aus welchen Gründen die vom Beschwerdeführer geltend gemachten Vorfälle nicht genügend intensiv sind, um als Verfolgung im Sinne von Art. 3 AsylG gelten zu können. Er gehört demnach nicht zu dieser Risikogruppe. Auch sind den Akten keine Hinweise zu entnehmen, wonach er zu einer der andern Risikogruppen gehören könnte. Weitergehend legt der Beschwerdeführer nicht dar, inwiefern die Verfügung Bundesrecht verletzen oder aus einem anderen Beschwerdegrund mangelhaft sein soll. Solches ist auch nicht ersichtlich.</w:t>
      </w:r>
    </w:p>
    <w:p>
      <w:r>
        <w:rPr>
          <w:b/>
        </w:rPr>
        <w:t>E. 5.3</w:t>
      </w:r>
    </w:p>
    <w:p>
      <w:r>
        <w:t>Aus den eingereichten Beweismitteln können die Beschwerdeführenden nichts zu ihren Gunsten ableiten. Die eingereichten Fotos und Briefe bestätigen einzig den bereits dargelegten Sachverhalt, der offensichtlich nicht einreiserelevant ist. Ihnen ist somit ein weiterer Verbleib in Sri Lanka zumutbar und sie sind nicht auf den Schutz der Schweiz angewiesen. Die Vorinstanz hat demnach den Beschwerdeführenden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