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E-5071/2013 vom 18. September 2013</w:t>
      </w:r>
    </w:p>
    <w:p>
      <w:r>
        <w:t>Bundesverwaltungsgericht, 2013-09-18, DE</w:t>
      </w:r>
    </w:p>
    <w:p>
      <w:r>
        <w:rPr>
          <w:b/>
        </w:rPr>
        <w:t xml:space="preserve">Quelle: </w:t>
      </w:r>
      <w:r>
        <w:t>https://mcp.opencaselaw.ch/entscheid/bvger_E-5071_2013</w:t>
      </w:r>
    </w:p>
    <w:p>
      <w:r>
        <w:t>FR: TAF E-5071/2013 du 18 septembre 2013</w:t>
      </w:r>
    </w:p>
    <w:p>
      <w:r>
        <w:t>IT: TAF E-5071/2013 del 18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 .</w:t>
      </w:r>
    </w:p>
    <w:p>
      <w:r>
        <w:rPr>
          <w:b/>
        </w:rPr>
        <w:t>E. 2</w:t>
      </w:r>
    </w:p>
    <w:p>
      <w:r>
        <w:t>Mit Beschwerde können die Verletzung von Bundesrecht, die unrichtige oder unvollständige Feststellung des Sachverhalts sowie die Unangemessenheit gerügt werden (Art. 106 Abs.1 AsylG).</w:t>
      </w:r>
    </w:p>
    <w:p>
      <w:r>
        <w:rPr>
          <w:b/>
        </w:rPr>
        <w:t>E. 3</w:t>
      </w:r>
    </w:p>
    <w:p>
      <w:r>
        <w:t>Die Rechtsbegehren sind unklar gestellt: Einerseits wird auf Art. 3 EMRK hingewiesen, was auf die Feststellung der Unzulässigkeit des Wegweisungsvollzugs wegen des menschenrechtlichen Rückschiebungsverbotes abzuzielen scheint (vgl. E. 11.2). Andrerseits wird beantragt, die Flüchtlingseigenschaft sei zuzugestehen. Auf Grund der tiefen Anforderungen, die an eine Laienbeschwerde zu stellen sind, und aus verfahrensökonomischen Gründen ist vorliegend darauf zu verzichten, eine Beschwerdeverbesserung einzufordern, und ist davon auszugehen, dass die vor-instanzliche Verfügung vollumfänglich angefochten werden soll.</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w:t>
      </w:r>
    </w:p>
    <w:p>
      <w:r>
        <w:t>Gestützt auf Art. 111a Abs. 1 AsylG wurde vorliegend auf die Durchführung eines Schriftenwechsels verzichtet.</w:t>
      </w:r>
    </w:p>
    <w:p>
      <w:r>
        <w:rPr>
          <w:b/>
        </w:rPr>
        <w:t>E. 6</w:t>
      </w:r>
    </w:p>
    <w:p>
      <w:r>
        <w:t>Am 28. September 2012 änderte die Bundesversammlung gestützt auf Art. 165 Abs. 1 der Bundesverfassung der Schweizerischen Eidgenossenschaft vom 18. April 1999 (BV, SR 101) das AsylG durch den Erlass eines dringlichen Bundesgesetzes. Diese Änderungen traten am 29. September 2012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diese Frist nach neuem Recht auch für Verfügungen des BFM nach Art. 40 in Verbindung mit Art. 6a Abs. 2 Bst. a AsylG. Dabei handelt es sich - im Gegensatz zu formellen Nichteintretensentscheiden nach Art. 34 Abs. 1 AsylG in Verbindung mit Art. 6a Abs. 2 Bst. a AsylG - um materielle negative Entscheide betreffend Asylsuchende aus verfolgungssicheren Staaten (sog. safe countries). Solche Entscheide werden ohne weitere Abklärungen erlassen, wenn aufgrund der Anhörung offenkundig geworden ist, dass die Asylsuchenden ihre Flüchtlingseigenschaft weder beweisen noch glaubhaft machen können und ihrer Wegweisung keine Gründe entgegenstehen. Art. 40 AsylG betrifft den Fall, dass nach der Anhörung keine weiteren Abklärungen zur Beurteilung der Flüchtlingseigenschaft und der Wegweisung sowie deren Vollzugs vonnöten sind. Hingegen steht die Bestimmung einer detaillierten Auseinandersetzung mit den Vorbringen von Asylsuchenden nicht entgegen; vielmehr ist eine solche aufgrund der Begründungspflicht des BFM und mit Blick auf das Recht auf wirksame Beschwerde geboten, wenngleich Art. 40 Abs. 2 AsylG eine summarische Begründung genügen lässt. Die Vorinstanz hat Art. 108 Abs. 2 AsylG in der seit dem 29. Sep­tember 2012 geltenden Fassung auf den vorliegenden Fall zu Recht angewendet. Da der Beschwerdeführerin eine Beschwerdeerhebung innert der (verkürzten neuen) Frist möglich war, stand die Frist gemäss Art. 108 Abs. 2 AsylG einer sachgerechten Anfechtung nicht entgegen. 7.7.1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Nach der Rechtsprechung des Bundesverwaltungsgerichts erfüllt eine asylsuchende Person die Flüchtlingseigenschaft im Sinne von Art. 3 AsylG, wenn sie Nachteile von bestimmter Intensität mit beachtlicher Wahrscheinlichkeit und in absehbarer Zukunft begründeterweise befürchten muss, welche ihr gezielt und aufgrund der oben erwähnten Verfolgungsmotive zugefügt zu werden drohen und vor denen sie keinen ausreichenden staatlichen Schutz erwarten kann (vgl. BVGE 2007/31 E. 5.2 f. und BVGE 2008/4 E. 5, BVGE 2008/12 E. 7.2.6.2 sowie die vom Bundesverwaltungsgericht fortgeführte Rechtsprechung der vormaligen Schweizerischen Asylrekurskommission (ARK) in EMARK 1995 Nr. 2 E. 3a, EMARK 2006 Nr. 18 E. 7-10 und EMARK Nr. 32 E. 8.7). Verfolgung ist demnach asylbeachtlich, wenn sie vom Staat ausgeht; nichtstaatliche Verfolgung ist dagegen nur dann asylbeachtlich, wenn der Staat zur Verfolgung anregt oder er sie sich in anderer Weise zurechnen lassen muss oder aber wenn er weder gewillt noch in der Lage ist, vor Verfolgung ausreichend Schutz zu bieten. Der Schutz vor privater Verfolgung ist als solcher ausreichend,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dabei auch davon ab, on der Schutz die von Verfolgung betroffene Person tatsächlich erreicht (vgl. UNHCR, Internationaler Flüchtlingsschutz, Auslegung von Artikel 1 des Abkommens von 1951 über die Rechtsstellung von Flüchtlingen, April 2001, Ziff. 15.).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BVGE 2008/5 E. 4.2 S. 60 f., BVGE 2008/4 E. 5.2 S. 37 f., EMARK 2006 Nr. 32 E. 6.1 S. 340 f., EMARK 2006 Nr. 18 E. 10.3.2 S. 203). Falls sich herausstellt, dass die Beschwerdeführerin in einem Landesteil von Verfolgung betroffen ist, ist zudem zu prüfen, ob in einem andern Landesteil eine innerstaatliche Schutzalternative besteht, was nur gegeben ist, wenn sie dort nicht in eine existenzbedrohende Lage geraten würde (vgl. BVGE 2011/51 E. 8 m.w.H.). 7.2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8.Das BFM führte zur Begründung seines ablehnenden Entscheides aus, nach der Auflösung der Union von Montenegro mit Serbien seien die montenegrinischen Behörden aufgrund ungeklärter Fragen bezüglich der Staatsangehörigkeit zurückhaltend gewesen bei der Ausstellung von Identitätsdokumenten, insbesondere bei ehemaligen Flüchtlingen. Aufgrund der eingereichten Dokumente sei vorliegend festzustellen, dass der Beschwerdeführerin die Ausstellung eines Identitätsdokuments mit Verfügung des Innenministeriums vom 2. November 2011 verweigert worden sei. Nach einer Intervention durch den Ombudsmann sei diese Verfügung jedoch aufgehoben worden. Gemäss Angaben der Beschwerdeführerin sei das Verfahren noch hängig. Sie sei ausgereist, bevor eine neue Entscheidung getroffen worden sei. Deshalb könne nicht festgestellt werden, ob die Behörden sich definitiv weigerten, den Status der Beschwerdeführerin mit der Ausstellung eines Identitätsdokuments zu regeln. Aufgrund des Umstandes, dass die ablehnende Verfügung auf Intervention des Ombudsmannes aufgehoben und die zuständige Behörde angewiesen worden sei, die Sache neu zu beurteilen, sei nicht davon auszugehen, dass die montenegrinischen Behörden die Ausstellung einer Identitätskarte auf Dauer verweigern würden. Die Beschwerdeführerin sei in Montenegro geboren und demnach montenegrinische Staatsangehörige. Sie habe den alten jugoslawischen Pass, welcher in D._______ ausgestellt worden sei. Gemäss den Erkenntnissen des BFM bestehe das Problem bei der Registrierung und Ausstellung von Identitätspapieren hauptsächlich darin, dass die Betroffenen über keinerlei Dokumente verfügten. Im Gegensatz dazu sei die Beschwerdeführerin gut dokumentiert. Zudem sei darauf hinzuweisen, dass ihre Tochter 2011 eine Identitätskarte erhalten habe, obwohl sie in C._______ geboren sei. Daher sei nicht glaubhaft dass die Beschwerdeführerin die montenegrinische Staatsangehörigkeit und die entsprechenden Dokumente nicht erlangen könne. Die weiteren Probleme, die sie geltend mache (Schwarzabreit, fehlende Krankenversicherung etc.) hingen mit ihrem noch ungeklärten Status zusammen. In Montenegro herrsche eine allgemeine Versicherungspflicht und 93% der Bevölkerung seien krankenversichert. Der Zugang zur staatlichen Gesundheitsfürsorge sei für die entsprechend registrierten Bewohner gewährleistet. Somit werde sie krankenversichert, sobald die Identitätskarte ausgestellt sei. Die Vorbringen, sie habe wegen eines Zeitungsinterviews Schwierigkeiten bekommen, sei unglaubhaft, da sie dazu unterschiedliche Angaben gemacht habe. So habe sie an der Kurzbefragung angegeben, die Probleme hätten nach dem Zeitungsinterview angefangen (A4 Punkt 7.01). An der vertieften Anhörung habe sie dagegen ausgesagt, ihre Probleme bestünden schon seit 17 Jahren, seit der Unabhängigkeit von Montenegro habe sie aber keine Rechte mehr. Nach dem konkreten Ausreiseanlass befragt, habe sie zunächst angegeben, im April im Vorfeld von Wahlen bedrängt worden zu sein, für die DPS zu stimmen. Auf Nachfrage hin habe sie aber keinen konkreten Ausreiseanlass anzugeben vermocht. Aufgrund dieser unterschiedlichen Angaben sei nicht glaubhaft, dass das Zeitungsinterview die Probleme entscheidend verschärft und sie sich dadurch zur Ausreise gezwungen gesehen habe. Was die Druckversuche von Seiten von Mitgliedern der DPS betreffe, so handle es sich dabei um Behelligungen von Privatpersonen. Die Beschwerdeführerin habe diese Übergriffe den Behörden nicht gemeldet. Dadurch habe sie verhindert, dass die zuständigen Behörden eingreifen und Massnahmen gegen die Fehlbaren und zum Schutz der Beschwerdeführerin hätten ergreifen können. Vorliegend könne daher nicht überprüft werden, ob die Behörden tatsächlich Schutzmassnahmen ergreifen würden. Die Regelvermutung gegenüber Mazedonien [recte: Montenegro] besage, dass Verfolgung nicht stattfinde und Schutz vor nichtstaatlicher Verfolgung gewährleistet werde. Die Beschwerdeführerin könne in Mazedonien [recte: Montenegro] grundsätzlich Schutz erhalten. Die Vorbringen seien deshalb nicht asylrelevant. 9.Das BFM hat zu Recht ausgeführt, dass nicht davon auszugehen ist, der Beschwerdeführerin würde ein Identitätsdokument dauerhaft verweigert, zumal ihrer Tochter bereits eine Identitätskarte ausgestellt worden war und die ablehnende Verfügung nach der Intervention des Ombudsmannes aufgehoben worden war, wobei sie den neuen Entscheid nicht abwartete. Ebenfalls zu Recht und mit zutreffender Begründung, welcher nichts hinzuzufügen ist, hat das BFM festgestellt, dass aufgrund der protokollierten Aussagen nicht glaubhaft ist, dass das erwähnte Zeitungsinterview für den Ausreiseentschluss ausschlaggebend gewesen ist, und dass ferner die Behelligungen durch Mitglieder der DPS keine asylbeachtliche Verfolgung darstellen. In der Beschwerde wird nichts vorgebracht, was an dieser Einschätzung etwas ändern würde, zumal lediglich die bisherigen Vorbringen bekräftigt werden bzw. auf die allgemeine Situation von ethnischen Minderheiten und Personen aus gemischtethnischer Ehe hingewiesen wird. Deshalb erübrigt es sich, darauf näher einzugehen. Nach dem Gesagten hat das BFM das Asylgesuch zu Recht abgewiesen.</w:t>
      </w:r>
    </w:p>
    <w:p>
      <w:r>
        <w:rPr>
          <w:b/>
        </w:rPr>
        <w:t>E. 10.1</w:t>
      </w:r>
    </w:p>
    <w:p>
      <w:r>
        <w:t>Lehnt das Bundesamt das Asylgesuch ab oder tritt es darauf nicht ein, so verfügt es in der Regel die Wegweisung aus der Schweiz und ordnet den Vollzug der Wegweisung an; es berücksichtigt dabei den Grundsatz der Einheit der Familie (Art. 44 Abs. 1 AsylG).</w:t>
      </w:r>
    </w:p>
    <w:p>
      <w:r>
        <w:rPr>
          <w:b/>
        </w:rPr>
        <w:t>E. 10.2</w:t>
      </w:r>
    </w:p>
    <w:p>
      <w:r>
        <w:t>Die Beschwerdeführerin verfügt weder über eine ausländerrechtliche Aufenthaltsbewilligung noch über einen Anspruch auf Erteilung einer solchen. Die Wegweisung wurde demnach zu Recht angeordnet (Art. 44 Abs. 1 AsylG; vgl. BVGE 2009/50 E. 9 m.w.H.).</w:t>
      </w:r>
    </w:p>
    <w:p>
      <w:r>
        <w:rPr>
          <w:b/>
        </w:rPr>
        <w:t>E. 11.1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entgegen der Beschwerde weder aus den Aussagen der Beschwerdeführerin noch aus den Akten Anhaltspunkte dafür, dass sie für den Fall einer Ausschaffung nach Montenegro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Dafür können den Akten keine Anhaltspunkte entnommen werden. Nach dem Gesagten ist der Vollzug der Wegweisung sowohl im Sinne der asyl- als auch der völkerrechtlichen Bestimmungen zulässig.</w:t>
      </w:r>
    </w:p>
    <w:p>
      <w:r>
        <w:rPr>
          <w:b/>
        </w:rPr>
        <w:t>E. 11.4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Situation in Montenegro noch individuelle Gründe lassen den Wegweisungsvollzug vorliegend trotz der zweifellos schwierigen wirtschaftlichen Lage der Beschwerdeführerin, die aber in D._______ immerhin über ein eigenes Haus verfügt, unzumutbar erscheinen. Sie kann zudem mit ihrer Tochter zurückkehren, deren Asylgesuch mit gleichem Datum rechtskräftig negativ entschieden wurde.</w:t>
      </w:r>
    </w:p>
    <w:p>
      <w:r>
        <w:rPr>
          <w:b/>
        </w:rPr>
        <w:t>E. 11.5</w:t>
      </w:r>
    </w:p>
    <w:p>
      <w:r>
        <w:t>Schliesslich obliegt es der Beschwerdeführerin, sich bei der zuständigen Vertretung des Heimatstaates die für eine Rückkehr notwendigen Reisedokumente zu beschaffen (Art. 8 Abs. 4 AsylG; vgl. dazu BVGE 2008/34 E. 12 S. 513-515), weshalb der Vollzug der Wegweisung auch als möglich zu bezeichnen ist (Art. 83 Abs. 2 AuG).</w:t>
      </w:r>
    </w:p>
    <w:p>
      <w:r>
        <w:rPr>
          <w:b/>
        </w:rPr>
        <w:t>E. 11.6</w:t>
      </w:r>
    </w:p>
    <w:p>
      <w:r>
        <w:t>Zusammenfassend hat die Vorinstanz den Wegweisungsvollzug zu Recht als zulässig, zumutbar und möglich erachtet. Eine Anordnung der vorläufigen Aufnahme fällt somit ausser Betracht (Art. 83 Abs. 1-4 AuG). 12.Aus diesen Erwägungen ergibt sich, dass die angefochtene Verfügung Bundesrecht nicht verletzt, den rechtserheblichen Sachverhalt richtig und vollständig feststellt und angemessen ist (Art. 106 Abs. 1 AsylG). Die Beschwerde ist abzuweisen. 13.Das Gesuch um Gewährung der unentgeltlichen Prozessführung gemäss Art. 65 Abs. 1 VwVG ist, ungeachtet der Frage mach der prozessualen Bedürftigkeit, abzuweisen, da sich die Beschwerdebegehren nach dem Gesagten als aussichtslos erwiesen haben. 14.Bei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