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E-5069/2013 vom 20. März 2014</w:t>
      </w:r>
    </w:p>
    <w:p>
      <w:r>
        <w:t>Bundesverwaltungsgericht, 2014-03-20, DE</w:t>
      </w:r>
    </w:p>
    <w:p>
      <w:r>
        <w:rPr>
          <w:b/>
        </w:rPr>
        <w:t xml:space="preserve">Quelle: </w:t>
      </w:r>
      <w:r>
        <w:t>https://mcp.opencaselaw.ch/entscheid/bvger_E-5069_2013</w:t>
      </w:r>
    </w:p>
    <w:p>
      <w:r>
        <w:t>FR: TAF E-5069/2013 du 20 mars 2014</w:t>
      </w:r>
    </w:p>
    <w:p>
      <w:r>
        <w:t>IT: TAF E-5069/2013 del 20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und Art. 52 Abs. 1 VwVG). Das am (...) geborene Kind B._______ ist in das Beschwerdeverfahren mit einzubeziehen (vgl. Rubrum und Prozessgeschichte Bst. E). Auf die Beschwerde ist einzutreten.</w:t>
      </w:r>
    </w:p>
    <w:p>
      <w:r>
        <w:rPr>
          <w:b/>
        </w:rPr>
        <w:t>E. 1.4</w:t>
      </w:r>
    </w:p>
    <w:p>
      <w:r>
        <w:t>Die Beschwerde ist im Verfahren einzelrichterlicher Zuständigkeit mit Zustimmung eines zweiten Richters beziehungsweise einer zweiten Richterin zu behandeln, weil sie sich im Ergebnis als offensichtlich begründet erweist (Art. 111 Bst. e AsylG).</w:t>
      </w:r>
    </w:p>
    <w:p>
      <w:r>
        <w:rPr>
          <w:b/>
        </w:rPr>
        <w:t>E. 1.5</w:t>
      </w:r>
    </w:p>
    <w:p>
      <w:r>
        <w:t>Die Kognition des Bundesverwaltungsgerichts und die zulässigen Rügen bestimmen sich nach Art. 106 Abs. 1 AsylG.</w:t>
      </w:r>
    </w:p>
    <w:p>
      <w:r>
        <w:rPr>
          <w:b/>
        </w:rPr>
        <w:t>E. 2</w:t>
      </w:r>
    </w:p>
    <w:p>
      <w:r>
        <w:t>Die Begründung der Beschwerdeanträge bindet das Bundesverwaltungsgericht nicht, und es kann die Beschwerde auch aus anderen als den geltend gemachten Gründen gutheissen oder den angefochtenen Entscheid im Ergebnis mit einer von jener der Vorinstanz abweichenden Begründung bestätigen (Art. 62 Abs. 4 VwVG).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Dieses Vorgehen geht auf im August 2013 bekannt gewordene Ereignisse zurück, bei denen zwei abgewiesene sri-lankische Asylsuchende nach ihrer Rückkehr aus der Schweiz verhaftet worden seien. Das BFM stellte zudem in Aussicht, die beiden Vorfälle und die Frage einer allfälligen Veränderung der allgemeinen Situation und insbesondere die Lage der Rückkehrenden in Sri Lanka vertieft abzuklären. In diesem Zusammenhang ersuchte es das Uno-Hochkommissariat für Flüchtlinge (UNHCR), die beiden Asylverfahren einer Qualitätsprüfung zu unterziehen und anschliessend auch die Dossiers jener Personen zu beurteilen, deren Gesuche rechtskräftig abgelehnt worden sind und die mit der Rückführung nach Sri Lanka hätten rechnen müssen (vgl. Medienmitteilung des BFM vom 4. September und 3. Oktober 2013). Die Vorinstanz geht damit selbst davon aus, dass der Sachverhalt, wie er der Verfügung vom 5. August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und, angesichts der seit 1. Februar 2014 geltenden Kognitionsbeschränkung der Beschwerdeinstanz (vgl. Art. 106 Abs. 1 AsylG), die Angemessenheitsüberprüfung verlöre. Die vorliegend notwendigen Abklärungen bringen eine relativ aufwändige und umfangreiche Beweiserhebung mit sich, weshalb die Kassation der angefochtenen Verfügung angezeigt ist.</w:t>
      </w:r>
    </w:p>
    <w:p>
      <w:r>
        <w:rPr>
          <w:b/>
        </w:rPr>
        <w:t>E. 3.3</w:t>
      </w:r>
    </w:p>
    <w:p>
      <w:r>
        <w:t>Die Beschwerde ist dementsprechend gutzuheissen. Die angefochtene Verfügung ist aufzuheben und die Sache zur vollständigen Sachverhaltsfeststellung sowie zu neuer Entscheidung an die Vorinstanz zurückzuweisen. Die vorinstanzlichen Akten sind, zusammem mit dem Beschwerdedossier, welches ebenfalls Prozessstoff des vorinstanzlichen Verfahrens bilden wird, dem BFM zuzustellen. Auf die weiteren formalen und inhaltlichen Vorbringen in der Rechtsmitteleingabe ist bei diesem Verfahrensausgang nicht weiter einzugehen.</w:t>
      </w:r>
    </w:p>
    <w:p>
      <w:r>
        <w:rPr>
          <w:b/>
        </w:rPr>
        <w:t>E. 4.1</w:t>
      </w:r>
    </w:p>
    <w:p>
      <w:r>
        <w:t>Bei diesem Ausgang des Verfahrens sind keine Kosten aufzuerlegen (vgl. Art. 63 Abs. 1 und 2 VwVG).</w:t>
      </w:r>
    </w:p>
    <w:p>
      <w:r>
        <w:rPr>
          <w:b/>
        </w:rPr>
        <w:t>E. 4.2</w:t>
      </w:r>
    </w:p>
    <w:p>
      <w:r>
        <w:t>Der professionell vertretenen Beschwerdeführerin ist angesichts ihres Obsiegens eine Entschädigung für die ihr notwendigerweise erwach­senen Parteikosten zuzusprechen (Art. 64 VwVG und Art. 7 Abs. 1 des Reglements vom 21. Februar 2008 über die Kosten und Entschädigungen vor dem Bundesverwaltungsgericht [VGKE, SR 173.320.2]). Das Bundesverwaltungsgericht erachtet den in der vom Rechtvertreter eingereichten Kostennote ausgewiesenen Zeitaufwand von 15½ Stunden für die Erarbeitung der Rechtschrift als zu hoch ein, zumal mit Ausnahme der angefochtenen Verfügung sämtliche Beilagen keinen individuellen Bezug zur Beschwerdeführerin aufweisen und für das Beschwerdever­fahren nur mittelbare Aussagekraft haben. Ferner sind weite Teile der Beschwerdebegründung und zahlreiche Beweismittel zur allgemeinen Lage in Sri Lanka in diversen vom mandatierten Rechtsvertreter geführten Beschwerdeverfahren in identischer Weise eingereicht worden. Im Übrigen ist der Inhalt der Eingaben teilweise redundant. Unter Berücksichtigung der massgebenden Bemessungsfaktoren (Art. 9-13 VGKE) hat das BFM der Beschwerdeführerin eine Parteientschädigung in der Höhe von total Fr. 1800.- (inkl. Auslagen und Mehrwertsteueranteil)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