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E-5068/2007 vom 28. März 2011</w:t>
      </w:r>
    </w:p>
    <w:p>
      <w:r>
        <w:t>Bundesverwaltungsgericht, 2011-03-28, FR</w:t>
      </w:r>
    </w:p>
    <w:p>
      <w:r>
        <w:rPr>
          <w:b/>
        </w:rPr>
        <w:t xml:space="preserve">Quelle: </w:t>
      </w:r>
      <w:r>
        <w:t>https://mcp.opencaselaw.ch/entscheid/bvger_E-5068_2007</w:t>
      </w:r>
    </w:p>
    <w:p>
      <w:r>
        <w:t>FR: TAF E-5068/2007 du 28 mars 2011</w:t>
      </w:r>
    </w:p>
    <w:p>
      <w:r>
        <w:t>IT: TAF E-5068/2007 del 28 marzo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de ses motifs.</w:t>
      </w:r>
    </w:p>
    <w:p>
      <w:r>
        <w:rPr>
          <w:b/>
        </w:rPr>
        <w:t>E. 3.2</w:t>
      </w:r>
    </w:p>
    <w:p>
      <w:r>
        <w:t>Il ressort en effet de son récit que les risques éventuellement encourus en cas de retour découleraient d'un acte de vengeance exercé par le frère du recourant contre un tiers, cela pour des raisons personnelles. Aucun de ces risques ne répondrait donc à un des motifs exhaustivement prévus par l'art. 3 LAsi ; en effet, le recourant, dans l'éventualité d'un retour en Afghanistan, serait exposé à d'hypothétiques actes de représailles de même nature, qui ne constitueraient donc pas une persécution au sens de la loi.</w:t>
      </w:r>
    </w:p>
    <w:p>
      <w:r>
        <w:rPr>
          <w:b/>
        </w:rPr>
        <w:t>E. 3.3</w:t>
      </w:r>
    </w:p>
    <w:p>
      <w:r>
        <w:t>Quant à la crédibilité de l'intéressé, elle n'a plus d'incidence en matière d'asile. Le Tribunal doit toutefois constater que le récit du recourant apparaît globalement cohérent et crédible, et ne comporte pas d'illogismes ; il s'accorde également au contexte afghan. Les divergences relevées par l'ODM ne portent que sur des détails peu importants, souvent d'ordre chronologique, et n'ont pas la portée que l'autorité de première instance leur attribue ; elles peuvent d'ailleurs s'expliquer par l'année et demi écoulée entre l'audition cantonale et l'audition fédérale, ou par des incertitudes de traduction. Le Tribunal relève d'ailleurs que la conversion des dates du calendrier iranien, utilisé par la recourant, dans celles du calendrier universel, n'a pas été correctement accomplie durant l'audition cantonale et comporte plusieurs erreurs.</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w:t>
      </w:r>
    </w:p>
    <w:p>
      <w:r>
        <w:rPr>
          <w:b/>
        </w:rPr>
        <w:t>E. 6.2</w:t>
      </w:r>
    </w:p>
    <w:p>
      <w:r>
        <w:t>En l'occurrence, c'est sur la question de l'exigibilité que l'autorité de céans doit porter son examen. Se prononçant sur le caractère raisonnablement exigible de l'exécution du renvoi vers l'Afghanistan, l'ancienne Commission suisse de recours en matière d'asile (CRA) a d'abord admis (cf. Jurisprudence et informations de la Commission suisse de recours en matière d'asile [JICRA] 2003 n°10 et 30) que l'exécution du renvoi vers Kaboul pouvait avoir lieu, moyennant la réalisation de strictes conditions (existence d'un réseau familial assuré, possibilités claires de logement et de réinstallation, accès vraisemblable à des ressources permettant la survie quotidienne) ; dans une jurisprudence ultérieure (JICRA 2006 n° 9 consid. 7.8 p. 102), la CRA a admis que l'exécution du renvoi, sous les mêmes conditions, était aussi raisonnablement exigible dans neuf provinces du nord du pays, parmi lesquelles ne figurait pas celle d'Uruzgan. Depuis lors, la situation sécuritaire s'est clairement aggravée dans la plus grande partie de l'Afghanistan, si bien qu'il n'est même pas certain que cette appréciation demeure valable (cf. à ce sujet UK Home Office, Afghanistan - novembre 2010, pts 8.01-8.22). La question peut cependant demeurer indécise en l'espèce, dans la mesure où le recourant ne provient pas d'une province vers laquelle l'exécution du renvoi est considérée comme raisonnablement exigible ; d'ailleurs, même si tel avait été le cas, il ne remplirait manifestement pas les conditions strictes posées par la jurisprudence à un retour éventuel (cf. également à ce sujet l'arrêt E-6065/2006 du 3 janvier 2011, accessible sur le site Internet du Tribunal).</w:t>
      </w:r>
    </w:p>
    <w:p>
      <w:r>
        <w:rPr>
          <w:b/>
        </w:rPr>
        <w:t>E. 6.3</w:t>
      </w:r>
    </w:p>
    <w:p>
      <w:r>
        <w:t>En effet, le Tribunal tient pour utile de rappeler les facteurs défavorables s'opposant en l'espèce au retour du recourant en Afghanistan. Bien qu'il soit célibataire et n'ait pas fait valoir de problèmes de santé, celui-ci ne dispose manifestement plus d'aucun réseau familial dans son pays : ses parents sont décédés, et seuls demeurent au pays une soeur, une tante et un oncle, dont le domicile précis est inconnu, mais apparaît aussi se situer dans la province d'Uruzgan. Ces personnes ne pourraient constituer un réseau social fiable, ce d'autant moins que rien ne permet d'admettre qu'ils seraient d'un quelconque secours à l'intéressé. Par ailleurs, le recourant, parti très jeune d'Afghanistan - il n'avait alors qu'une quinzaine d'années -, n'y a acquis aucune formation ; il lui serait sans doute difficile d'y trouver un emploi et de s'y réinsérer, ce d'autant plus qu'il a quitté son pays depuis maintenant plus de cinq ans. Enfin, il n'a jamais vécu à Kaboul et apparaît n'y avoir aucune relation ; il ne saurait donc être exigé de lui qu'il y prenne résidence. Le Tribunal constate d'ailleurs à ce sujet que l'ODM, relevant que "le requérant n'a[vait] donné aucun élément concret permettant de conclure qu'il ne pourrait pas s'y installer", a indûment renversé le fardeau de la preuve. En effet, en vertu du principe général posé par l'art. 8 du code civil suisse du 10 décembre 1907 (CC, RS 210), il appartient à l'autorité d'établir qu'une réinstallation ailleurs qu'au lieu d'origine est possible, et non au requérant que tel n'est pas le cas (cf. à ce sujet JICRA 2006 n° 4 consid. 5.1 p. 44-46).</w:t>
      </w:r>
    </w:p>
    <w:p>
      <w:r>
        <w:rPr>
          <w:b/>
        </w:rPr>
        <w:t>E. 6.4</w:t>
      </w:r>
    </w:p>
    <w:p>
      <w:r>
        <w:t>Dès lors, le Tribunal considère que, dans le cas spécifique du recourant, celui-ci court un risque important de se trouver livré à lui-même en cas de retour, sans possibilité d'assurer sa survie ou de recevoir un quelconque soutien, dans une région qui reste la proie de troubles graves ; l'exécution du renvoi doit être tenue en l'état pour non raisonnablement exigible.</w:t>
      </w:r>
    </w:p>
    <w:p>
      <w:r>
        <w:rPr>
          <w:b/>
        </w:rPr>
        <w:t>E. 7</w:t>
      </w:r>
    </w:p>
    <w:p>
      <w:r>
        <w:t>La décision attaquée est donc annulée, en tant qu'elle prononce l'exécution du renvoi de A._______. L'admission provisoire doit en conséquence être accordée au recourant.</w:t>
      </w:r>
    </w:p>
    <w:p>
      <w:r>
        <w:rPr>
          <w:b/>
        </w:rPr>
        <w:t>E. 8.1</w:t>
      </w:r>
    </w:p>
    <w:p>
      <w:r>
        <w:t>Le recours étant partiellement rejeté, il y a lieu de mettre les frais de procédure correspondants à la charge du recourant (art. 63 al. 1 PA).</w:t>
      </w:r>
    </w:p>
    <w:p>
      <w:r>
        <w:rPr>
          <w:b/>
        </w:rPr>
        <w:t>E. 8.2</w:t>
      </w:r>
    </w:p>
    <w:p>
      <w:r>
        <w:t>Le recourant, qui a eu gain de cause sur une partie de ses conclusions, a droit à des dépens partiels, pour les frais occasionnés par la présente procédure (cf. art.64 al. 1 PA, art. 7 al. 1 et 2 du règlement du 21 février 2008 concernant les frais, dépens et indemnités fixés par le Tribunal administratif fédéral [FITAF, RS 173.320.2]). En l'absence d'un décompte de prestations, et vu le caractère sommaire du recours, les dépens sont fixés sur la base du dossier, ex aequo et bono, à Fr. 300.- (cf. art. 14 al. 2 FITAF). Le recourant n'ayant eu gain de cause que sur une partie de ses conclusions, les dépens sont arrêtés à la moitié de cette somme, soit Fr.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