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E-5057/2015 vom 6. September 2017</w:t>
      </w:r>
    </w:p>
    <w:p>
      <w:r>
        <w:t>Bundesverwaltungsgericht, 2017-09-06, FR</w:t>
      </w:r>
    </w:p>
    <w:p>
      <w:r>
        <w:rPr>
          <w:b/>
        </w:rPr>
        <w:t xml:space="preserve">Quelle: </w:t>
      </w:r>
      <w:r>
        <w:t>https://mcp.opencaselaw.ch/entscheid/bvger_E-5057_2015</w:t>
      </w:r>
    </w:p>
    <w:p>
      <w:r>
        <w:t>FR: TAF E-5057/2015 du 6 septembre 2017</w:t>
      </w:r>
    </w:p>
    <w:p>
      <w:r>
        <w:t>IT: TAF E-5057/2015 del 6 settembre 2017</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1.4</w:t>
      </w:r>
    </w:p>
    <w:p>
      <w:r>
        <w:t>A l'appui de son écrit du 24 février 2015, le recourant a produit l'existence d'un « mandat d'arrêt » turc délivré à son encontre, postérieurement à l'arrêt E-4122/2012 du 7 janvier 2014, et indiqué qu'il craignait dès lors de retourner dans son pays d'origine. En tant que cet allégué de fait est nouveau (postérieur à l'arrêt précité) et porte sur des motifs d'asile au sens de l'art. 3 LAsi, c'est à juste titre que le SEM a qualifié l'écrit du recourant de deuxième demande d'asile et l'a traité selon l'art. 111c LAsi (demande d'asile formée dans les cinq ans suivant l'entrée en force d'une décision d'asile ou de renvoi).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il y a lieu d'examiner si c'est à bon droit que le SEM a retenu, dans la décision attaquée, que les trois pièces produites par le recourant à l'appui de sa deuxième demande d'asile (à savoir le mandat du [...] 2014, ainsi que les deux communications internes datées du [...], respectivement du [...] 2014) étaient des faux.</w:t>
      </w:r>
    </w:p>
    <w:p>
      <w:r>
        <w:rPr>
          <w:b/>
        </w:rPr>
        <w:t>E. 3.1.1</w:t>
      </w:r>
    </w:p>
    <w:p>
      <w:r>
        <w:t>Le Tribunal observe tout d'abord que les trois pièces ont été uniquement produites sous forme de copies. Un tel procédé ne permettant pas d'exclure d'éventuelles manipulations, il est impossible de s'assurer de leur authenticité ; en tant que telles, elles sont dénuées de valeur probante.</w:t>
      </w:r>
    </w:p>
    <w:p>
      <w:r>
        <w:rPr>
          <w:b/>
        </w:rPr>
        <w:t>E. 3.1.2</w:t>
      </w:r>
    </w:p>
    <w:p>
      <w:r>
        <w:t>En outre, le contenu essentiel de l'analyse diligentée par les services du SEM, communiqué au recourant, apparaît d'une manière générale fiable et convaincant. Ainsi, comme constaté à bon escient par l'autorité inférieure, le mandat, émis à l'encontre de l'intéressé et cosigné par un juge et un greffier, comporte plusieurs indices de falsification : en particulier, il ne comprend non seulement ni l'appellation du tribunal ni le lieu de commission de l'infraction, mais il retient encore, comme « date du délit », l'année 2014, en dépit du fait que le recourant ne soit jamais retourné dans son pays d'origine depuis le dépôt de sa première demande d'asile en Suisse le 5 avril 2012. L'intéressé, quant à lui, n'a présenté aucun argument convaincant à même d'infirmer les indices de falsification précités. Il s'est montré particulièrement évasif et s'est borné à soutenir, en échafaudant des hypothèses, que ces indices n'étaient pas suffisants pour conclure à une contrefaçon, voire qu'il ne pouvait être personnellement tenu responsable des faits de son avocat turc (qui aurait peut-être voulu s'enrichir sur son dos en lui fournissant de faux documents). Il n'a, par ailleurs, fourni ni dans ses écrits du 24 février 2015, du 16 mars 2015 et du 29 juin 2015, ni d'ailleurs dans son recours et sa réplique, d'explications concrètes permettant de comprendre les raisons pour lesquelles les autorités turques auraient cherché à l'arrêter par un mandat daté de presque deux ans après sa sortie du pays. Ses allégations, selon lesquelles dites autorités poursuivraient un but caché, soit celui de l'accuser à tort d'un crime non commis, ne sont que de simples spéculations qu'aucun élément concret ni moyen de preuve fiable et déterminant ne vient étayer. Au vu des indices importants de falsification relevés ci-dessus, lesquels ne sont pas exhaustifs, et compte tenu du fait que les communications internes du (...), respectivement du (...) 2014, renvoient toutes deux au mandat précité, c'est à juste titre que le SEM les a également considérées comme des contrefaçons.</w:t>
      </w:r>
    </w:p>
    <w:p>
      <w:r>
        <w:rPr>
          <w:b/>
        </w:rPr>
        <w:t>E. 3.1.3</w:t>
      </w:r>
    </w:p>
    <w:p>
      <w:r>
        <w:t>Par surabondance de motifs, force est de constater que le recourant, représenté selon ses dires par un avocat du barreau turc dans son pays, n'a jamais fait état de l'existence d'une plainte déposée à son encontre par le ministère public de son pays ou par un tiers, ce qui est un indice concret qu'il n'y en a jamais eu. Partant, il n'est guère compréhensible qu'un juge - et non un procureur du ministère public - émette un mandat d'amener ou d'arrêt à l'encontre de l'intéressé. Le déroulement de la procédure pénale, tel qu'il ressort des trois pièces produites, apparaît ainsi contraire à la pratique des autorités turques, ce qui constitue un indice supplémentaire de falsification de celles-ci.</w:t>
      </w:r>
    </w:p>
    <w:p>
      <w:r>
        <w:rPr>
          <w:b/>
        </w:rPr>
        <w:t>E. 3.2</w:t>
      </w:r>
    </w:p>
    <w:p>
      <w:r>
        <w:t>En résumé, le Tribunal fait sienne l'appréciation du SEM dans sa décision du 14 juillet 2015, selon laquelle les trois pièces produites par le recourant constituent des faux, élaborés pour les besoins de la cause. A l'instar du SEM, il n'est pas plausible que le recourant ait produit dites pièces sans se douter de leur défaut d'authenticité. En agissant ainsi, il a perdu toute crédibilité ; ses nouveaux allégués ne sauraient être considérés comme vraisemblables au sens de l'art. 7 LAsi. De plus, c'est à juste titre que le SEM a fait saisir ces pièces en application de l'art. 10 al. 4 LAsi.</w:t>
      </w:r>
    </w:p>
    <w:p>
      <w:r>
        <w:rPr>
          <w:b/>
        </w:rPr>
        <w:t>E. 4</w:t>
      </w:r>
    </w:p>
    <w:p>
      <w:r>
        <w:t>A l'appui de son recours et dans sa réplique, le recourant a soutenu qu'il était exposé à des sérieux préjudices en cas de retour en Turquie, en raison de son appartenance à l'ethnie kurde, de son passé, de l'implication de membres de sa famille dans la politique (notamment de son frère), de l'assassinat de son cousin par des militaires et des pressions subies par sa famille restée au pays. Il appert du dossier que ces faits ont déjà été allégués par le recourant au cours de sa première demande d'asile. Ils ont par ailleurs été pris en considération dans leur globalité par le Tribunal dans son arrêt E-4122/2012 du 7 janvier 2014, lequel a, pour rappel, considéré, d'une part, que le récit du recourant ne satisfaisait pas aux exigences de vraisemblance posées à l'art. 7 LAsi et, d'autre part, que celui-ci n'avait ni établi ni même rendu vraisemblable qu'il puisse, en cas de retour en Turquie, être victime de préjudices constitutifs d'une persécution réfléchie déterminante au sens de l'art. 3 LAsi. En réitérant des bribes de son récit dans le cadre de la procédure de recours liée à sa deuxième demande d'asile, ce sur la base de moyens de preuve contrefaits, le recourant tente d'obtenir une nouvelle appréciation de son cas et ainsi de remettre vainement en cause un arrêt du Tribunal bénéficiant de l'autorité de chose jugée. Les déclarations écrites du frère du recourant, ainsi que de la conjointe de celui-ci (cf. courrier du 1er octobre 2015 et let. L supra), aux contenus vagues, voire contradictoires avec les déclarations antérieures du recourant, ne sauraient remettre valablement en cause les éléments qui précèdent, dans la mesure notamment où tout risque de collusion n'est pas exclu. Le Tribunal relève en particulier que le recourant n'a jamais mentionné avoir vécu à D._______ après y avoir abandonné son école secondaire en 2006 ni a fortiori avoir combattu dans cette ville ou à F._______ l'organisation de l'Etat islamique. Partant, le courrier du 1er octobre 2015, visiblement établi par complaisance, est dénué de toute valeur probante.</w:t>
      </w:r>
    </w:p>
    <w:p>
      <w:r>
        <w:rPr>
          <w:b/>
        </w:rPr>
        <w:t>E. 5.1</w:t>
      </w:r>
    </w:p>
    <w:p>
      <w:r>
        <w:t>Reste à examiner la question des motifs subjectifs postérieurs à la fuite invoqués par l'intéressé. Celui-ci a en effet fait valoir, au stade du recours, qu'il avait participé à des manifestations et événements organisés pour défendre la cause kurde et que la qualité de réfugié devait lui être reconnue en raison de ses activités en exil (cf. art. 3 et 54 LAsi). A l'appui de son recours, il a déposé quatre photographies (prises, selon ses explications, lors de la fête du peuple kurde à G._______ en 2015, lors d'une démonstration de danse traditionnelle en 2014 en Italie et lors d'une manifestation organisée en 2013 pour la libération d'Abdullah Öcalan à H._______) et une attestation écrite du (...) 2015 du Centre kurde des droits de l'homme. En annexe à sa réplique, il a encore produit trois captures d'écran de sa page Facebook, ainsi que deux exemplaires d'un journal « pro-kurde », spécifiant qu'il participait à la distribution de ce périodique en Suisse.</w:t>
      </w:r>
    </w:p>
    <w:p>
      <w:r>
        <w:rPr>
          <w:b/>
        </w:rPr>
        <w:t>E. 5.2</w:t>
      </w:r>
    </w:p>
    <w:p>
      <w:r>
        <w:t>Selon l'attestation du (...) 2015 du Centre kurde des droits de l'homme, le recourant est membre de cette association. Il ressort également de celle-ci que l'intéressé a, selon ses propres déclarations, participé en Suisse à des manifestations clairement affichées comme organisées par le PKK et a également milité pour la reconnaissance de droits pour le peuple kurde, ce qui pourrait constituer un risque en cas de retour en Turquie. Cette attestation n'indique cependant d'aucune manière quelles activités l'intéressé aurait exercées en tant que membre de l'association, ni ne cite de sources permettant à son signataire d'affirmer que celui-ci courrait un risque en cas de retour dans son pays. Dès lors qu'elle a été rédigée sur la base d'informations transmises par le recourant lui-même, elle ne saurait constituer la preuve d'un comportement en exil susceptible d'inquiéter les autorités turques.</w:t>
      </w:r>
    </w:p>
    <w:p>
      <w:r>
        <w:rPr>
          <w:b/>
        </w:rPr>
        <w:t>E. 5.3</w:t>
      </w:r>
    </w:p>
    <w:p>
      <w:r>
        <w:t>S'agissant des quatre photographies fournies, elles ne font pas apparaître le recourant comme un meneur ou comme une personne dont l'engagement serait susceptible d'entraîner de la part des autorités turques des investigations afin de pouvoir l'identifier. En d'autres termes, elles mettent tout au plus en lumière la participation de l'intéressé à des événements tels que des manifestations ou des fêtes populaires, mais non un comportement qui ait pu ou pourrait attirer négativement l'attention des services secrets turcs.</w:t>
      </w:r>
    </w:p>
    <w:p>
      <w:r>
        <w:rPr>
          <w:b/>
        </w:rPr>
        <w:t>E. 5.4</w:t>
      </w:r>
    </w:p>
    <w:p>
      <w:r>
        <w:t>Quant à l'activité déployée par l'intéressé sur le réseau social Facebook, sous une identité partiellement différente de celle de son passeport, et la prétendue participation à la distribution d'un journal mensuel « pro-kurde », elles ne lui donnent pas un profil d'opposant de nature à justifier, à elles seules, une crainte fondée d'une persécution au sens de l'art. 3 LAsi. En effet, rien ne permet d'admettre que l'intéressé ait pu attirer sur lui l'attention des autorités turques, par le simple fait d'avoir posté des vidéos sur son compte Facebook, voire distribué un périodique.</w:t>
      </w:r>
    </w:p>
    <w:p>
      <w:r>
        <w:rPr>
          <w:b/>
        </w:rPr>
        <w:t>E. 5.5</w:t>
      </w:r>
    </w:p>
    <w:p>
      <w:r>
        <w:t>En définitive, le recourant n'a pas non plus rendu vraisemblable que ses activités en exil sont susceptibles de l'exposer à des préjudices déterminants en matière d'asile en cas de retour dans son pays d'origine.</w:t>
      </w:r>
    </w:p>
    <w:p>
      <w:r>
        <w:rPr>
          <w:b/>
        </w:rPr>
        <w:t>E. 6</w:t>
      </w:r>
    </w:p>
    <w:p>
      <w:r>
        <w:t>Il s'ensuit que le recours, en tant qu'il conteste le refus de reconnaissance de la qualité de réfugié et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Conformément aux art. 44 et 45 al. 1 let. e LAsi en relation avec l'art. 83 al. 1 LEtr (a contrario), l'exécution du renvoi est ordonnée si elle est licite, raisonnablement exigible et possible. Si ces conditions ne sont pas (toutes) réunies, l'admission provisoire est prononcée.</w:t>
      </w:r>
    </w:p>
    <w:p>
      <w:r>
        <w:rPr>
          <w:b/>
        </w:rPr>
        <w:t>E. 9.1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w:t>
      </w:r>
    </w:p>
    <w:p>
      <w:r>
        <w:rPr>
          <w:b/>
        </w:rPr>
        <w:t>E. 9.5</w:t>
      </w:r>
    </w:p>
    <w:p>
      <w:r>
        <w:t>S'agissant de la situation en Turquie, il importe de relever qu'à la suite de l'état d'urgence, décrété le 20 juillet 2016 (après le coup d'Etat manqué du 15 juillet 2016), l'application de la CEDH a été suspendue par les autorités turques ; les garanties procédurales ont été levées et l'indépendance du pouvoir judiciaire affaiblie au profit du pouvoir exécutif. Des vagues de licenciements et d'arrestations ont eu lieu. Un ensemble de lois a conduit notamment à des ingérences indues dans la liberté de la presse et dans les activités de défense des droits de l'homme, à l'emprisonnement d'activistes des droits de l'homme, de journalistes, de magistrats et de députés de l'opposition, en particulier du parti pro-kurde DBP (successeur du BDP) intégré dans la coalition du HDP (pour des liens supposés avec le PKK), à l'absence d'enquêtes effectives et au développement de l'impunité à l'endroit de personnes ou autorités ayant agi en faveur du pouvoir exécutif en commettant des violations des droits de l'homme. La réforme constitutionnelle du 16 avril 2017 accorde de larges pouvoirs au président et lui permet désormais d'intervenir dans le fonctionnement de la justice (cf. entre autres documents, Observations du Commissaire aux droits de l'homme du Conseil de l'Europe soumises à la CourEDH le 25 avril 2017, CommDH 2017/13, relatives aux opérations antiterroristes et aux mesures de couvre-feu dans le sud-est de la Turquie ; du même Commissaire, article publié le 10 mars 2017 sur Euronews : Human rights in Turkey - the urgent need for a new beginning, et mémorandum du 7 octobre 2016 sur les conséquences pour les droits de l'homme des mesures d'urgence en Turquie ; voir encore les articles publiés dans « Justice - Justiz - Giustizia » 2016/3 Juria, Report on the illegalities in the crimininal investigation regarding judges and prosecutors in Turkey et Redaktion Richterzeitung, Aktuelle Situation der Justiz in der Türkei ; Laura Maï Gaveriaux, La sale guerre du président Erdogan, in : Le Monde diplomatique, juillet 2016). Partant, il est indéniable que la situation prévalant en Turquie s'est notablement dégradée depuis le prononcé de l'arrêt du 7 janvier 2014.</w:t>
      </w:r>
    </w:p>
    <w:p>
      <w:r>
        <w:rPr>
          <w:b/>
        </w:rPr>
        <w:t>E. 9.6</w:t>
      </w:r>
    </w:p>
    <w:p>
      <w:r>
        <w:t>Nonobstant ce qui précède, le Tribunal considère qu'aucun élément au dossier ne démontre que l'exécution du renvoi du recourant l'exposerait actuellement à un risque réel (« real risk ») de torture ou de traitements prohibés au sens de la jurisprudence de la Cour européenne des droits de l'homme. Le fait que certaines régions de Turquie sont actuellement le théâtre d'événements violents, tels que rapportés notamment dans les articles, produits au stade de la réplique, ne suffit pas à démontrer l'existence d'un risque concret et sérieux pour le recourant lui-même. En particulier, celui-ci ne peut se prévaloir d'un profil politique spécifique qui le laisserait apparaître aux yeux des autorités turques, comme un véritable opposant, que ce soit comme un soutien actif du PKK, respectivement du DBP ou de Fethullah Gülen.</w:t>
      </w:r>
    </w:p>
    <w:p>
      <w:r>
        <w:rPr>
          <w:b/>
        </w:rPr>
        <w:t>E. 9.7</w:t>
      </w:r>
    </w:p>
    <w:p>
      <w:r>
        <w:t>Dès lors, l'exécution du renvoi du recourant sous forme de refoulement ne transgresse aucun engagement de la Suisse relevant du droit international, de sorte qu'elle s'avère licite (art. 44 LAsi et art. 83 al. 3 LEtr).</w:t>
      </w:r>
    </w:p>
    <w:p>
      <w:r>
        <w:rPr>
          <w:b/>
        </w:rPr>
        <w:t>E. 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10.3</w:t>
      </w:r>
    </w:p>
    <w:p>
      <w:r>
        <w:t>En dépit de la dégradation de la situation dans le pays,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La reprise des hostilités entre les autorités turques et les combattants du PKK et l'augmentation des attentats terroristes dans le pays ne démontrent pas l'existence d'une situation susceptible de mettre concrètement en danger toute la population du pays. On ne peut pas non plus affirmer que la situation dans la province de I._______, d'où est originaire le recourant, est comparable à celle de Sirnak ou de Hakkari (cf. ATAF 2013/2). Au demeurant, il n'y a pas de raison de considérer que le recourant ne pourrait pas, au besoin, s'établir dans une autre région du pays, notamment à Gaziantep (où il a vécu trois ans avant de quitter son pays), voire dans la capitale ou l'une ou l'autre des grandes métropoles à l'ouest du pays.</w:t>
      </w:r>
    </w:p>
    <w:p>
      <w:r>
        <w:rPr>
          <w:b/>
        </w:rPr>
        <w:t>E. 10.4</w:t>
      </w:r>
    </w:p>
    <w:p>
      <w:r>
        <w:t>Le Tribunal relève encore que le recourant est majeur, sans charge familiale et au bénéfice d'une expérience professionnelle qu'il a acquise à Gaziantep. Il dispose par ailleurs dans son pays d'origine d'un large réseau social et familial, soit autant de facteurs qui devraient lui permettre de s'y réinstaller sans rencontrer d'excessives difficultés. Il peut par ailleurs être attendu de celui-ci qu'il sollicite de la part de son frère, domicilié en Suisse, une aide financière, à même de l'aider à sa réinstallation en Turquie. De surcroît, l'intéressé n'a pas non plus établi souffrir de problèmes de santé susceptibles, par leur gravité, de constituer un motif d'empêchement à l'exécution de son renvoi (cf. ATAF 2009/2 consid. 9.3.2).</w:t>
      </w:r>
    </w:p>
    <w:p>
      <w:r>
        <w:rPr>
          <w:b/>
        </w:rPr>
        <w:t>E. 10.5</w:t>
      </w:r>
    </w:p>
    <w:p>
      <w:r>
        <w:t>Pour ces motifs, l'exécution du renvoi doit être considérée comme raisonnablement exigible.</w:t>
      </w:r>
    </w:p>
    <w:p>
      <w:r>
        <w:rPr>
          <w:b/>
        </w:rPr>
        <w:t>E. 11.1</w:t>
      </w:r>
    </w:p>
    <w:p>
      <w:r>
        <w:t>Enfin, l'exécution du renvoi n'est pas possible, lorsque l'étranger ne peut pas quitter la Suisse pour son Etat d'origine, son Etat de provenance ou un Etat tiers, ni être renvoyé dans un de ces Etats (art. 83 al. 2 LEtr).</w:t>
      </w:r>
    </w:p>
    <w:p>
      <w:r>
        <w:rPr>
          <w:b/>
        </w:rPr>
        <w:t>E. 11.2</w:t>
      </w:r>
    </w:p>
    <w:p>
      <w:r>
        <w:t>Le recourant est en possession de documents suffisants pour rentrer dans son pays (un passeport et une carte d'identité [« nüfüs »] encore au dossier du SEM)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Au vu de ce qui précède, le recours, en tant qu'il conteste la décision de renvoi et d'exécution de cette mesure, doit être également rejeté et la décision attaquée confirmée sur ces points.</w:t>
      </w:r>
    </w:p>
    <w:p>
      <w:r>
        <w:rPr>
          <w:b/>
        </w:rPr>
        <w:t>E. 13</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la demande d'assistance judiciaire partielle doit être admise. Il n'est, par conséquent,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