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E-5056/2016 vom 20. Februar 2017</w:t>
      </w:r>
    </w:p>
    <w:p>
      <w:r>
        <w:t>Bundesverwaltungsgericht, 2017-02-20, DE</w:t>
      </w:r>
    </w:p>
    <w:p>
      <w:r>
        <w:rPr>
          <w:b/>
        </w:rPr>
        <w:t xml:space="preserve">Quelle: </w:t>
      </w:r>
      <w:r>
        <w:t>https://mcp.opencaselaw.ch/entscheid/bvger_E-5056_2016</w:t>
      </w:r>
    </w:p>
    <w:p>
      <w:r>
        <w:t>FR: TAF E-5056/2016 du 20 février 2017</w:t>
      </w:r>
    </w:p>
    <w:p>
      <w:r>
        <w:t>IT: TAF E-5056/2016 del 20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des Beschwerdeführers würden den Anforderungen an die Flüchtlingseigenschaft gemäss Art. 3 und Art. 7 AsylG nicht standhalten. Zwischen der geltend gemachten Haft und seinem Fortgang aus Äthiopien fehle es an einem zeitlichen und sachlichen Kausalzusammenhang, womit das Vorbringen nicht asylrelevant sei. Seine Schilderung zur dargelegten Verfolgung wegen des Verteilens der Flugblätter erscheine als unsubstantiiert. Er könne nicht fundiert und nachvollziehbar erklären, dass er gesucht worden sei. Gleiches gelte für die Umstände der Inhaftierung seines Bruders. Insgesamt habe er die Fahndung der Behörden nach ihm nicht glaubhaft darlegen können.</w:t>
      </w:r>
    </w:p>
    <w:p>
      <w:r>
        <w:rPr>
          <w:b/>
        </w:rPr>
        <w:t>E. 4.2</w:t>
      </w:r>
    </w:p>
    <w:p>
      <w:r>
        <w:t>Die Beweiswürdigung der Vorinstanz ist nicht zu beanstanden. Der Beschwerdeführer setzt sich damit nicht ansatzweise auseinander. Mit dem blossen Wiederholen des aktenkundigen Sachverhalts zeigt er nicht auf, inwiefern die angefochtene Verfügung Bundesrecht verletzen oder den Sachverhalt rechtsfehlerhaft feststellen soll. Solches lässt sich auch nicht annehmen.</w:t>
      </w:r>
    </w:p>
    <w:p>
      <w:r>
        <w:rPr>
          <w:b/>
        </w:rPr>
        <w:t>E. 4.2.1</w:t>
      </w:r>
    </w:p>
    <w:p>
      <w:r>
        <w:t>So trifft zu, dass es zwischen der im Jahr 2009/2010 erlittenen Haft und der Ausreise des Beschwerdeführers im Januar 2014 an einem zeitlichen und sachlichen Kausalzusammenhang fehlt. Dies zeigt sich auch daran, dass der Beschwerdeführer nach der Haftentlassung eine Ausbildung (...) absolvierte und danach mehrere Jahre auf diesem Beruf arbeitete. Der Vorfall im Jahr 2009/2010 ist somit nicht asylrelevant.</w:t>
      </w:r>
    </w:p>
    <w:p>
      <w:r>
        <w:rPr>
          <w:b/>
        </w:rPr>
        <w:t>E. 4.2.2</w:t>
      </w:r>
    </w:p>
    <w:p>
      <w:r>
        <w:t>Ebenfalls zutreffend stellt die Vorinstanz fest, dass es den Vorbringen bezüglich der Verfolgung aufgrund der Flugblatt-Aktion des Beschwerdeführers an Substanz fehlt. Seine Schilderungen hierzu sind durchgehend oberflächlich und Realkennzeichen sind keine zu erkennen. Es entsteht der Eindruck, dass der Beschwerdeführer einen real existierenden Vorgang (Landenteignungen aufgrund der Ausweitung der Hauptstadt Addis Abeba) für seine Fluchtgeschichte missbraucht. Wie die Vorinstanz geht auch das Bundesverwaltungsgericht davon aus, dass sich der Beschwerdeführer, wie im Übrigen viele Äthiopier in den betroffenen Gebieten, gegen diese Enteignungen einsetzte. Aus dem Protokoll geht hervor, dass er diesbezüglich gut informiert ist. Wird in der Anhörung jedoch seine angebliche Verfolgung angesprochen, ist sofort erkennbar, dass seine Aussagen an Detailreichtum verlieren und kürzer werden. So schildert er in seiner freien Erzählung die Verhaftung beziehungsweise Tötung seiner beiden Arbeitskollegen als reinen Geschehensablauf (SEM-Akten, A11/20 F49). Nichts deutet daraufhin, dass er dies tatsächlich erlebt hätte, beziehungsweise dass er darüber informiert worden wäre und deswegen sofort habe flüchten müssen. Auch die Detailfragen hierzu beantwortet er nur oberflächlich. Obwohl der Beschwerdeführer ausführlich dazu befragt wird, bleibt unklar, wie die Behörden auf seine beiden Arbeitskollegen aufmerksam geworden sind, wie sein Freund, der ihn angerufen hat, von der Festnahme und Tötung erfahren hat und auch aus welchem Grund das Haus des Beschwerdeführers anschliessend durchsucht worden ist (vgl. SEM-Akten, A11/20 F116 ff.). Gleiches gilt für die von ihm nicht substantiierte Aussage, sein Bruder befinde sich wegen ihm im Gefängnis. Die Vorbringen des Beschwerdeführers sind nicht glaubhaft.</w:t>
      </w:r>
    </w:p>
    <w:p>
      <w:r>
        <w:rPr>
          <w:b/>
        </w:rPr>
        <w:t>E. 4.3</w:t>
      </w:r>
    </w:p>
    <w:p>
      <w:r>
        <w:t>Zusammenfassend hat der Beschwerdeführer nichts vorgebracht, das geeignet wäre, die Flüchtlingseigenschaft nachzuweisen oder glaubhaft zu machen. Die Vorinstanz hat demnach das Asylgesuch zu Recht abgelehnt.</w:t>
      </w:r>
    </w:p>
    <w:p>
      <w:r>
        <w:rPr>
          <w:b/>
        </w:rPr>
        <w:t>E. 5.1</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erhalten zwar kein Asyl, werden jedoch als Flüchtlinge vorläufig aufgenommen.</w:t>
      </w:r>
    </w:p>
    <w:p>
      <w:r>
        <w:rPr>
          <w:b/>
        </w:rPr>
        <w:t>E. 5.2</w:t>
      </w:r>
    </w:p>
    <w:p>
      <w:r>
        <w:t>Der Beschwerdeführer bringt vor, er habe sich in der Schweiz der OLF angeschlossen und habe an Demonstrationen, Sitzungen und Treffen teilgenommen. Er reicht hierzu Fotos zu den Akten. Er macht damit implizit subjektive Nachfluchtgründe geltend. Aus seinen Beschwerdevorbringen und den eingereichten Beweismitteln (Fotos, Quittung Mitgliederbeitrag, Schreiben der Oromo Community of Switzerland und Schreiben der OLF) geht jedoch kein exponiertes exilpolitisches Wirken hervor, das den äthiopischen Behörden bekannt sein dürfte (vgl. hierzu Urteile des BVGer D-6356/2014 vom 23. Juni 2015 und D-2326/2013 vom 27. März 2014 sowie dort zitierte weitere Urteile). Der Beschwerdeführer erfüllt damit die Voraussetzungen für die Zuerkennung der Flüchtlingseigenschaft gemäss Art. 3 AsylG unter dem Aspekt subjektiver Nachfluchtgründe gemäss Art. 54 AsylG nicht.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nach Äthiopien dort mit beachtlicher Wahrscheinlichkeit einer nach Art. 3 EMRK oder Art. 1 FoK verbotenen Strafe oder Behandlung ausgesetzt wäre. Der Vollzug ist demnach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BVGE 2011/25). Auch sprechen keine individuellen Gründe gegen eine Rückkehr des Beschwerdeführers nach Äthiopien. Er hat sein ganzes bisheriges Leben in Äthiopien verbracht und verfügt dort über ein grosses soziales Netz (Mutter, Geschwister, Onkel, Freunde). Zudem handelt es sich beim Beschwerdeführer um einen jungen, gesunden Mann mit zehnjähriger Schulbildung und Arbeitserfahrung als (...). In Übereinstimmung mit den vorinstanzlichen Erwägungen ist von der Zumutbarkeit des Wegweisungsvollzugs auszugehen.</w:t>
      </w:r>
    </w:p>
    <w:p>
      <w:r>
        <w:rPr>
          <w:b/>
        </w:rPr>
        <w:t>E. 7.4</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7.5</w:t>
      </w:r>
    </w:p>
    <w:p>
      <w:r>
        <w:t>Die Vorinstanz hat demnach zu Recht Wegweisungsvollzugshindernisse verneint. Die Anordnung einer vorläufigen Aufnahme fällt ausser Betracht (Art. 83 Abs. 1-4 AuG).</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seine Begehren als aussichtslos zu gelten haben (Art. 65 Abs. 1 VwVG). Das Gesuch um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