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E-5052/2013 vom 21. Februar 2014</w:t>
      </w:r>
    </w:p>
    <w:p>
      <w:r>
        <w:t>Bundesverwaltungsgericht, 2014-02-21, FR</w:t>
      </w:r>
    </w:p>
    <w:p>
      <w:r>
        <w:rPr>
          <w:b/>
        </w:rPr>
        <w:t xml:space="preserve">Quelle: </w:t>
      </w:r>
      <w:r>
        <w:t>https://mcp.opencaselaw.ch/entscheid/bvger_E-5052_2013</w:t>
      </w:r>
    </w:p>
    <w:p>
      <w:r>
        <w:t>FR: TAF E-5052/2013 du 21 février 2014</w:t>
      </w:r>
    </w:p>
    <w:p>
      <w:r>
        <w:t>IT: TAF E-5052/2013 del 21 febbraio 2014</w:t>
      </w:r>
    </w:p>
    <w:p>
      <w:pPr>
        <w:pStyle w:val="Heading2"/>
      </w:pPr>
      <w:r>
        <w:t>Regeste</w:t>
      </w:r>
    </w:p>
    <w:p>
      <w:r>
        <w:t>Asile et renvoi</w:t>
      </w:r>
    </w:p>
    <w:p>
      <w:pPr>
        <w:pStyle w:val="Heading2"/>
      </w:pPr>
      <w:r>
        <w:t>Erwägungen</w:t>
      </w:r>
    </w:p>
    <w:p>
      <w:r>
        <w:rPr>
          <w:b/>
        </w:rPr>
        <w:t>E. 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inférieure a annoncé vouloir non seulement élucider les circonstances des deux cas d'arrestations précités, mais également procéder à un examen minutieux de la situation générale au Sri Lanka. Elle considère donc elle-même que l'état de fait, tel que retenu dans sa décision du 7 août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 Le dossier est renvoyé à l'ODM avec copies des pièces de la procédure de recours, accompagnées des moyens de preuve (originaux, lorsqu'ils ont été fournis) déposés en procédure de recours.</w:t>
      </w:r>
    </w:p>
    <w:p>
      <w:r>
        <w:rPr>
          <w:b/>
        </w:rPr>
        <w:t>E. 4.1</w:t>
      </w:r>
    </w:p>
    <w:p>
      <w:r>
        <w:t>S'avérant manifestement fondé, le recours est admis dans une procédure à juge unique, avec l'approbation d'un second juge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les dépens sont arrêtés au montant de 2'000 francs,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