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E-5045/2009 vom 29. November 2012</w:t>
      </w:r>
    </w:p>
    <w:p>
      <w:r>
        <w:t>Bundesverwaltungsgericht, 2012-11-29, DE</w:t>
      </w:r>
    </w:p>
    <w:p>
      <w:r>
        <w:rPr>
          <w:b/>
        </w:rPr>
        <w:t xml:space="preserve">Quelle: </w:t>
      </w:r>
      <w:r>
        <w:t>https://mcp.opencaselaw.ch/entscheid/bvger_E-5045_2009</w:t>
      </w:r>
    </w:p>
    <w:p>
      <w:r>
        <w:t>FR: TAF E-5045/2009 du 29 novembre 2012</w:t>
      </w:r>
    </w:p>
    <w:p>
      <w:r>
        <w:t>IT: TAF E-5045/2009 del 29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Beschwerdeführerin beantragt in ihrer Rechtsmitteleingabe die Aufhebung der Dispositivziffern 1 bis 3 der angefochtenen Verfügung. Gegenstand des vorliegenden Verfahrens bildet somit die Prüfung der Flüchtlingseigenschaft, die Gewährung von Asyl und die Anordnung der Wegweisung.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gelangt zur Auffassung, dass die Vorbringen der Beschwerdeführerin den Anforderungen an die Glaubhaftigkeit gemäss Art. 7 AsylG nicht standhält, so dass eine Prüfung der Vorbringen auf deren Asylrelevanz nicht vorzunehmen sei. Dazu führt es aus, die Darstellung der Beschwerdeführerin, wonach sie zwangsrekrutiert worden sei, gehe mit Unstimmigkeiten einher und widerspreche insofern den gesicherten Erkenntnissen des BFM, als dass Personen in diesem Alter noch nicht der Rekrutierungspflicht unterstünden. Die im Zusammenhang mit der Zwangsrekrutierung vorgebrachten Beschuldigung der eritreischen Behörden, sie sei eine Spionin, erscheine angesichts ihrer Minderjährigkeit und des Umstands, dass sie politisch nicht aktiv gewesen sei, nicht nachvollziehbar und widerspreche der allgemeinen Lebenserfahrung und der Logik des Handelns.</w:t>
      </w:r>
    </w:p>
    <w:p>
      <w:r>
        <w:rPr>
          <w:b/>
        </w:rPr>
        <w:t>E. 5.2</w:t>
      </w:r>
    </w:p>
    <w:p>
      <w:r>
        <w:t>Demgegenüber führt die Beschwerdeführerin in ihrer Rechtsmittelschrift mit Verweis auf die Rechtsprechung der Schweizerischen Asylrekurskommission (ARK) und auf diverse Berichte aus, die geschilderte Deportation entspreche sehr wohl den damaligen Begebenheiten. Auch die vorgebrachte Zwangsrekrutierung beziehungsweise Inhaftnahme decke sich mit den Erkenntnissen der ARK in Entscheidungen und Mitteilungen der ARK [EMARK] 2006 Nr. 3. Zudem könne sie detaillierte Angaben zur Ausstattung der Gefängniszelle, zum Tagesablauf und der erhaltenen Nahrung machen. Es sei ferner festzustellen, dass sie bei ihrer Darlegung auch emotional reagiert habe, was als Indiz dafür zu werten sei, dass sie das Erzählte tatsächlich erlebt habe. Überdies lasse sich ihr Sachvortrag (Fesselungen, die Spionagevorwürfe und die willkürliche Behandlung von Militärdienstverweigerern) durch Berichte von humanitären Organisationen bestätigen. Ihre Vorbringen seien als ausreichend substantiiert und detailliert einzuschätzen, da zu berücksichtigen sei, dass sie im Zeitpunkt der Geschehnisse in Eritrea minderjährig gewesen sei und bis zur Befragung bei der Vorinstanz sechs Jahre vergangen seien. Die körperlichen Folgen, wie ihrer Narben an den Handgelenken, sprächen auch für die Glaubhaftigkeit der Vorbringen, und die Schilderungen würden mit dem tatsächlichen Kriegsverlauf (extensive Zwangsrekrutierung im März 2000, Eroberung von Tesseney durch äthiopische Truppen im Mai 2000, Beendigung des Konflikts im Juni 2000) übereinstimmen. Aus dem Vorgenannten ergebe sich, dass sie vor ihrer Ausreise in konkretem Kontakt mit den eritreischen Militärbehörden gestanden habe und in Eritrea wegen Militärdienstverweigerung einer übermässigen Bestrafung ausgesetzt wäre. Es sei ihr deshalb die Flüchtlingseigenschaft anzuerkennen und Asyl in der Schweiz zu gewähren.</w:t>
      </w:r>
    </w:p>
    <w:p>
      <w:r>
        <w:rPr>
          <w:b/>
        </w:rPr>
        <w:t>E. 6.1</w:t>
      </w:r>
    </w:p>
    <w:p>
      <w:r>
        <w:t>Die Anerkennung der Flüchtlingseigenschaft und die Asylgewährung sind von vornherein ausgeschlossen, wenn eine Person mit einer Staatsangehörigkeit, die in einem Drittstaat Verfolgung erlitten oder zu befürchten hat, den Schutz ihres Heimatstaates in Anspruch nehmen kann (vgl. Walter Kälin, Grundriss des Asylverfahrens, Basel/Frankfurt a.M. 1990, S. 34 f.; UNHCR, Handbuch über Verfahren und Kriterien zur Feststellung der Flüchtlingseigenschaft, Genf 1979, Neuauflage: UNHCR Österreich 2003, Rz. 90).</w:t>
      </w:r>
    </w:p>
    <w:p>
      <w:r>
        <w:rPr>
          <w:b/>
        </w:rPr>
        <w:t>E. 6.2</w:t>
      </w:r>
    </w:p>
    <w:p>
      <w:r>
        <w:t>Es ist folglich vorab zu prüfen, welche Staatsangehörigkeit die Beschwerdeführerin aufweist beziehungsweise, welches der beiden Länder (Äthiopien oder Eritrea) ihr Heimatstaat ist.</w:t>
      </w:r>
    </w:p>
    <w:p>
      <w:r>
        <w:rPr>
          <w:b/>
        </w:rPr>
        <w:t>E. 6.2.1</w:t>
      </w:r>
    </w:p>
    <w:p>
      <w:r>
        <w:t>Unbestrittenermassen hat die Beschwerdeführerin bis heute keine rechtsgenüglichen Identitätsausweise zu den Akten gegeben. Soweit sie vorbringt, sie sei im Januar 2000 mit ihrem eritreisch-stämmigen Vater zusammen von den äthiopischen Behörden nach Eritrea deportiert und dort registriert worden, gilt der Sachvortrag als glaubhaft. Aus der vorinstanzlich angefochtenen Verfügung geht denn auch nicht explizit hervor, dass die geltend gemachte Deportation als unglaubhaft oder tatsachenwidrig beurteilt würde. Das BFM führt lediglich aus, dass die Darstellung der Zwangsrekrutierung mit Unstimmigkeiten einhergehe und soweit seinen gesicherten Erkenntnissen widerspreche, als dass Minderjährige in Eritrea nicht der Rekrutierungspflicht unterstünden (vgl. angefochtene Verfügung S. 2). Insoweit sind diese Ausführungen für die Prüfung des Heimatstaates der Beschwerdeführerin nicht von Belang. Wesentlich erscheint jedoch, dass ihren Angaben zufolge der Vater der Beschwerdeführerin eritreischer Herkunft ist und nach der Deportation in Eritrea registriert worden ist; daraus ergibt sich mit hoher Wahrscheinlichkeit, dass der Vater in Eritrea als eritreischer Staatsangehöriger galt. Wie aus der nachfolgend erwähnten eritreischen Staatsangehörigkeitsverordnung hervorgeht, gilt auch die Beschwerdeführerin als eritreische Staatsangehörige. Dieser Verordnung zufolge erwirbt jede Person mit einem eritreischen Elternteil die eritreische Staatsangehörigkeit durch Geburt (Gazette of Eritrean Laws, Ziffer 2 Art. 1 Eritrean Nationality Proclamation [No. 21/1992]: "Any person born to a father or a mother of Eritrean origin in Eritrea or abroad is an Eritrean national by birth"). Ob die Beschwerdeführerin wegen ihrer äthiopischen Mutter auch über einen Anspruch auf die äthiopische Staatsangehörigkeit verfügt, kann vorliegend offengelassen werden, da ihre eritreische Staatsangehörigkeit - zwar nicht belegt, indessen aber aufgrund des vorliegenden Sachverhalts und gestützt auf die eritreische Staatsangehörigkeitsverordnung als überwiegend glaubhaft beurteilt werden muss.</w:t>
      </w:r>
    </w:p>
    <w:p>
      <w:r>
        <w:rPr>
          <w:b/>
        </w:rPr>
        <w:t>E. 6.3</w:t>
      </w:r>
    </w:p>
    <w:p>
      <w:r>
        <w:t>Das Bundesverwaltungsgericht stellt in einem Zwischenergebnis fest, dass die Beschwerdeführerin als eritreische Staatsangehörige gilt. Die flüchtlingsrechtliche Relevanz der durch Äthiopien verursachten Deportation ist deshalb nicht weiter zu prüfen. Hingegen stellt sich die Frage, ob die vorgetragenen Ereignisse in Eritrea als glaubhaft und asylrelevant zu qualifizieren sind.</w:t>
      </w:r>
    </w:p>
    <w:p>
      <w:r>
        <w:rPr>
          <w:b/>
        </w:rPr>
        <w:t>E. 6.3.1</w:t>
      </w:r>
    </w:p>
    <w:p>
      <w:r>
        <w:t>Diese sind - soweit sie die vorgebrachte Zwangsrekrutierung, Haft und Flucht umfassen - mit der Vorinstanz im Ergebnis einhergehend als unglaubhaft zu beurteilen. Bezüglich der Verneinung von zwangsrekrutierten Minderjährigen teilt das Bundesverwaltungsgericht indessen die vorinstanzliche Auffassung nicht. Trotz der festgesetzten Militärdienstpflicht von Personen im Alter von achtzehn bis fünfundvierzig Jahren ist angesichts des teilweise willkürlich agierenden repressiven Regimes nicht auszuschliessen, dass auch Minderjährige in den Militärdienst eingezogen werden (vgl. EMARK 2006 Nr. 3). In casu wirken die Schilderungen der Beschwerdeführerin zur Zwangsrekrutierung, Haft und Flucht jedoch konstruiert und lassen eine gewisse Logik und Schlüssigkeit der Handlungen vermissen. Insbesondere erstaunt vor dem Hintergrund der kriegerischen Geschehnisse, dass die Sicherheitsleute bzw. die eritreischen Polizisten das Verhalten der Beschwerdeführerin, wonach sie sich geweigert habe ins Camp zu gehen, akzeptiert hätten und den Aufwand auf sich genommen hätten, sie während dreier Wochen täglich zu fesseln und über den Aufenthalt ihres Vaters und ihre Herkunft zu befragen, obwohl sie offenkundig keine diesbezüglichen Angaben habe machen können. Ein solches Vorgehen der Polizeibehörden entbehrt jeglicher Logik. Vielmehr dürfte aus deren Sicht der schnellstmögliche Einsatz einer jeden zwangsrekrutierten Person im Vordergrund gestanden haben und vor diesem Hintergrund ist anzunehmen, dass sie auch zwangsweise im Militärausbildungscamp hätte gehalten werden können. Einmal rekrutiert ist kaum vorstellbar, dass ihre Herkunft oder Minderjährigkeit von derart zentraler Bedeutung gewesen wäre, als dass sie täglich verhört worden wäre. Die Angaben, wonach sie jeweils nur während der Befragungen gefesselt worden sei, welche in einem kleinen Büro - also ausser Blickweite anderer Mitgefangener - stattgefunden hätten (vgl. A20 S. 12), sind mit denjenigen Aussagen, wonach die Fluchtgefährten ihr geholfen hätten, weil sie gesehen hätten, wie sie gefesselt worden sei (vgl. A20 S. 13), nicht in Einklang zu bringen. Die von ihr geschilderte Behandlung durch den Behördenfunktionär erscheint angesichts des eritreischen repressiven Regimes und des Umstands, dass die Beschwerdeführerin der Spionage beschuldigt worden sein soll, milde ausgefallen zu sein, weshalb die diesbezüglichen Vorbringen wenig glaubhaft erscheinen (vgl. A20 S. 12). Insgesamt wirken die Schilderungen - wie soeben dargelegt - konstruiert und vermögen kein nachvollziehbares Bild zu zeichnen, um in sich als schlüssig bezeichnet werden zu können (vgl. A20 S. 12 ff). Teilweise erscheinen sie auch unsubstantiiert. Die von der Beschwerdeführerin geltend gemachten Realitätsmerkmale (Emotionen, Narben an den Handgelenken) werden nicht in Abrede gestellt, doch vermögen sie in dem von ihr geltend gemachten Zusammenhang nicht zu überzeugen.</w:t>
      </w:r>
    </w:p>
    <w:p>
      <w:r>
        <w:rPr>
          <w:b/>
        </w:rPr>
        <w:t>E. 6.3.2</w:t>
      </w:r>
    </w:p>
    <w:p>
      <w:r>
        <w:t>Zusammenfassend ist festzuhalten, dass es der Beschwerdefüh­rerin nicht gelungen ist, einen im Zeitpunkt ihrer Ausreise aus Eritrea bestandenen Kontakt zu den Militärbehörden beziehungsweise eine bestehende oder drohende, asylrechtlich relevante Gefährdung nachzuweisen oder glaubhaft zu machen. Das BFM hat ihr folglich zu Recht die Anerkennung der Flüchtlingseigenschaft und das Asyl aufgrund von Vorfluchtgründen verweigert. Der Sohn hat angesichts seiner Geburt in der Schweiz keine eigenen Vorfluchtgründe.</w:t>
      </w:r>
    </w:p>
    <w:p>
      <w:r>
        <w:rPr>
          <w:b/>
        </w:rPr>
        <w:t>E. 6.3.3</w:t>
      </w:r>
    </w:p>
    <w:p>
      <w:r>
        <w:t>Ob der am 28. September 2012 vom Parlament im Rahmen eines dringlichen Bundesbeschlusses erlassene und am darauffolgenden Tag (29. September 2012) in Kraft getretene Art. 3 Abs. 3 AsylG,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auf das vorliegende Verfahren anzuwenden wäre, kann offen bleiben, da sich die die Vorfluchtgründe der Beschwerdeführerin als unglaubhaft erweisen.</w:t>
      </w:r>
    </w:p>
    <w:p>
      <w:r>
        <w:rPr>
          <w:b/>
        </w:rPr>
        <w:t>E. 6.4</w:t>
      </w:r>
    </w:p>
    <w:p>
      <w:r>
        <w:t>Es bleibt von Amtes wegen zu prüfen, ob die Beschwerdeführerin durch ihre Ausreise aus dem Heimatstaat bei einer Rückkehr nach Eritrea - mithin wegen subjektiver Nachfluchtgründe - befürchten müsste, ernsthaften Nachteilen im Sinne von Art. 3 AsylG ausgesetzt zu werden.</w:t>
      </w:r>
    </w:p>
    <w:p>
      <w:r>
        <w:rPr>
          <w:b/>
        </w:rPr>
        <w:t>E. 6.4.1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(vgl. BVGE 2009/29 E. 5.2 mit weiteren Hinweisen; D-3892/2008 E.5.3.3).</w:t>
      </w:r>
    </w:p>
    <w:p>
      <w:r>
        <w:rPr>
          <w:b/>
        </w:rPr>
        <w:t>E. 6.4.2</w:t>
      </w:r>
    </w:p>
    <w:p>
      <w:r>
        <w:t>Die Beschwerdeführerin hat keine Identitätsausweise und gibt in Bezug auf ihre Ausreise aus ihrem Heimatstaat an, sie sei illegal ausgereist. Gemäss geltender Rechtsprechung des Bundesverwaltungsgerichts (vgl. dazu D-3892/2008 E.5.3.3) ergibt sich trotz wenig verfügbaren, zuverlässigen und unabhängigen Quellen aber wegen der bekannten Willkür der Behörden ein einheitliches Bild in Bezug auf die mit der illegalen Ausreise zu erwartenden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6.4.3</w:t>
      </w:r>
    </w:p>
    <w:p>
      <w:r>
        <w:t>Aufgrund der Akten und unter Berücksichtigung der Tatsache, dass die Beschwerdeführerin im Zeitpunkt ihrer Ausreise fünfzehn jährig gewesen war, ist ohne weiteres davon auszugehen, dass sie ihren Heimatstaat illegal, das heisst ohne behördliches Ausreisevisum, verlassen hat. Die Beschwerdeführerin hat angesichts der oben genannten Umstände begründete Furcht, bei einer Rückkehr in ihren Heimatstaat erheblichen Nachteilen im Sinne von Art. 3 AsylG ausgesetzt zu werden. Sie erfüllt demnach die Anforderungen an die Flüchtlingseigenschaft. Da die drohende Verfolgung allerdings auf die illegale Ausreise aus Eritrea zurückzuführen ist, ist ihr in Anwendung von Art. 54 AsylG kein Asyl zu gewähren, weshalb die vorinstanzliche Verfügung insoweit - die Dispositiv-Ziffer 2 betreffend - zu bestätigen ist.</w:t>
      </w:r>
    </w:p>
    <w:p>
      <w:r>
        <w:rPr>
          <w:b/>
        </w:rPr>
        <w:t>E. 6.4.4</w:t>
      </w:r>
    </w:p>
    <w:p>
      <w:r>
        <w:t>Der in der Schweiz geborene Sohn der Beschwerdeführerin wird im Sinne von Art. 51 Abs. 3 AsylG in deren Flüchtlingseigenschaft einbezogen, zumal keine besonderen Umstände ersichtlich sind, die dagegen sprechen würden (Art. 51 Abs. 3 in fine AsylG).</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Beschwerdeführerin und ihr Kind verfügen weder über eine ausländerrechtliche Aufenthaltsbewilligung noch über einen Anspruch auf Erteilung einer solchen. Die Wegweisung wurde demnach zu Recht angeordnet (vgl. BVGE 2009/50 E. 9 S. 733 m.H.a. EMARK 2001 Nr. 21).</w:t>
      </w:r>
    </w:p>
    <w:p>
      <w:r>
        <w:rPr>
          <w:b/>
        </w:rPr>
        <w:t>E. 7.3</w:t>
      </w:r>
    </w:p>
    <w:p>
      <w:r>
        <w:t>Die Beschwerdeführenden unterstehen als Flüchtlinge dem Schutz des Rückschiebungsverbotes nach Art. 33 des Abkommens vom 28. Juli 1951 über die Rechtsstellung der Flüchtlinge (FK, SR 0.142.30) beziehungsweise Art. 5 AsylG und können sich grundsätzlich auf die weiteren Garantien der Flüchtlingskonvention berufen. Da den Beschwerdeführenden die Flüchtlingseigenschaft zuerkannt wurde (E 6.4.3.) erweist sich der Wegweisungsvollzug als unzulässig.</w:t>
      </w:r>
    </w:p>
    <w:p>
      <w:r>
        <w:rPr>
          <w:b/>
        </w:rPr>
        <w:t>E. 7.4</w:t>
      </w:r>
    </w:p>
    <w:p>
      <w:r>
        <w:t>Aus diesen Erwägungen ergibt sich, dass die angefochtene Verfügung Bundesrecht verletzt, soweit sie die Frage der Flüchtlingseigenschaft betrifft. Die Beschwerde ist nach dem Gesagten insoweit gutzuheissen, als dass die Dispositivziffern 1 und 4 aufzuheben sind und das Bundesamt anzuweisen ist, die Flüchtlingseigenschaft der Beschwerdeführerin gestützt auf Art. 54 AsylG anzuerkennen, ihr Kind im Sinne von Art. 51 Abs. 3 AsylG in ihre Flüchtlingseigenschaft einzubeziehen und beide wegen Unzulässigkeit vorläufig aufzunehmen.</w:t>
      </w:r>
    </w:p>
    <w:p>
      <w:r>
        <w:rPr>
          <w:b/>
        </w:rPr>
        <w:t>E. 8.1</w:t>
      </w:r>
    </w:p>
    <w:p>
      <w:r>
        <w:t>Bei diesem Ausgang des Verfahrens wären die Kosten nach dem Grad des Durchdringens praxisgemäss zur Hälfte, ausmachend Fr. 300.-der Beschwerdeführerin aufzuerlegen (Art. 63 Abs. 1 und 5 VwVG; Art. 1-3 des Reglements vom 21. Februar 2008 über die Kosten und Entschädigungen vor dem Bundesverwaltungsgericht [VGKE, SR 173.320.2]). Angesichts der Tatsache, dass mit verfahrensleitender Verfügung das Gesuch um Gewährung der unentgeltlichen Prozessführung gutgeheissen wurde und aufgrund der Aktenlage nach wie vor von der mit Bestätigung vom 6. August 2009 belegten prozessualen Bedürftigkeit auszugehen ist, ist von der Kostenauferlegung abzusehen.</w:t>
      </w:r>
    </w:p>
    <w:p>
      <w:r>
        <w:rPr>
          <w:b/>
        </w:rPr>
        <w:t>E. 8.2</w:t>
      </w:r>
    </w:p>
    <w:p>
      <w:r>
        <w:t>Trotz ihres teilweisen Obsiegens ist der Beschwerdeführerin schliesslich keine (reduzierte) Parteientschädigung auszurichten, da sie im Beschwerdeverfahren keine Rechtsvertretung mandatiert hat und sich aus den Akten keine Hinweise darauf ergeben, dass ihr selber durch die Beschwerdeführung verhältnismässig hohe Kosten im Sinne von Art. 64 Abs. 1 VwVG erwachsen wären.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