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E-5031/2012 vom 4. Juni 2014</w:t>
      </w:r>
    </w:p>
    <w:p>
      <w:r>
        <w:t>Bundesverwaltungsgericht, 2014-06-04, DE</w:t>
      </w:r>
    </w:p>
    <w:p>
      <w:r>
        <w:rPr>
          <w:b/>
        </w:rPr>
        <w:t xml:space="preserve">Quelle: </w:t>
      </w:r>
      <w:r>
        <w:t>https://mcp.opencaselaw.ch/entscheid/bvger_E-5031_2012</w:t>
      </w:r>
    </w:p>
    <w:p>
      <w:r>
        <w:t>FR: TAF E-5031/2012 du 4 juin 2014</w:t>
      </w:r>
    </w:p>
    <w:p>
      <w:r>
        <w:t>IT: TAF E-5031/2012 del 4 giugno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Die zulässigen Rügen sowie die Kognition des Bundesverwaltungsgerichts bestimmen sich nach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begründete seinen ablehnenden Entscheid einerseits damit, dass es die Vorbringen des Beschwerdeführers für unglaubhaft halte, weil seine Aussagen unsubstanziiert, widersprüchlich und in wesentlichen Punkten nicht logisch nachvollziehbar seien. Andererseits habe er seine rechtsmässig festgelegte und nicht zu beanstandende Strafe verbüsst, weshalb sich seine Angaben als nicht asylrelevant erweisen würden. Dem Vollzug der Wegweisung stünden weder die in seinem Heimatstaat herrschende politische Situation noch individuelle Gründe entgegen. Seine gesundheitlichen Problemen mit seinem Ohr habe er bereits vor seiner Ausreise im Kosovo behandeln lassen können, weshalb er auch bei einer Rückkehr dorthin die notwendige medizinische Versorgung erhältlich machen könne. Somit sei bei einer Rückkehr in den Kosovo nicht von einer konkreten Gefährdung des Beschwerdeführers auszugehen.</w:t>
      </w:r>
    </w:p>
    <w:p>
      <w:r>
        <w:rPr>
          <w:b/>
        </w:rPr>
        <w:t>E. 5.2</w:t>
      </w:r>
    </w:p>
    <w:p>
      <w:r>
        <w:t>In seiner Beschwerde führte der Beschwerdeführer im Wesentlichen aus, die Familie des Mannes, den er getötet habe, akzeptiere seine strafrechtliche Verfolgung hierfür nicht als Ersatz der Blutrache und habe deshalb eine Versöhnung beziehungsweise Schlichtung ("Besa") bisher verweigert. Aus diesem Grund werde er seit seiner Haftentlassung von diversen Mitgliedern dieser Familie verfolgt und mit dem Tod bedroht, weshalb er sich zur Flucht aus seinem Heimatland entschlossen habe. In Bezug auf die einzelnen widersprüchlichen Aussagen müsse berücksichtigt werden, dass die Befragungen indirekt über einen Übersetzer stattgefunden hätten. Widersprüche dürften zudem nur innerhalb des asylrelevanten Sachverhalts beachtet werden, zumal sich innerhalb der gesamten Aussagen stets ungereimte Details finden lassen würden. In diesem Zusammenhang habe das BFM den Sachverhalt ungenügend abgeklärt. Als abgewiesener albanischer Asylbewerber drohe ihm bei seiner Rückkehr in sein Heimatland zudem mit beachtlicher Wahrscheinlichkeit eine verbotene Strafe oder Behandlung seitens der Familie des Getöteten. Folglich erweise sich zumindest der Vollzug der Wegweisung als unzulässig.</w:t>
      </w:r>
    </w:p>
    <w:p>
      <w:r>
        <w:rPr>
          <w:b/>
        </w:rPr>
        <w:t>E. 6.1</w:t>
      </w:r>
    </w:p>
    <w:p>
      <w:r>
        <w:t>Die in der Beschwerde erhobenen formellen Rügen sind vorweg zu beurteilen, da sie allenfalls geeignet wären, eine Kassation der vorinstanzlichen Verfügung zu bewirken (vgl. Entscheidungen und Mitteilungen der Schweizerischen Asylrekurskommission [EMARK] 2004 Nr. 38 und EMARK 1994 Nr. 1; Fritz Gygi, Bundesverwaltungsrechtspflege, 2. Aufl., Bern 1983, S. 233, mit weiteren Hinweisen, S. 287 und 297 f.; Kölz/Häner/Bertschi, Verwaltungsverfahren und Verwaltungsrechtspflege des Bundes, 3. Aufl., 2013, N 1043 ff., mit weiteren Hinweisen). Der Beschwerdeführer rügt die unrichtige Feststellung des rechtserheblichen Sachverhalts.</w:t>
      </w:r>
    </w:p>
    <w:p>
      <w:r>
        <w:rPr>
          <w:b/>
        </w:rPr>
        <w:t>E. 6.2</w:t>
      </w:r>
    </w:p>
    <w:p>
      <w:r>
        <w:t>Die Vorinstanz hat den Beschwerdeführer zu seinen Vorbringen zunächst summarisch und anlässlich der Anhörung zu seinen Asylgründen einlässlich befragt. Darüber hinaus gab sie ihm Gelegenheit insbesondere über seine gesundheitliche Situation zu informieren, was er auch getan hat. Hinsichtlich des Vorbringens des Beschwerdeführers betreffend die Verständigungsprobleme mit der ersten Übersetzerin ist folgendes festzuhalten: Auf Begehren des Beschwerdeführers wurde für die Rückübersetzung des Protokolls ein anderer anwesender Dolmetscher aufgeboten, da es den Angaben des Beschwerdeführers zufolge bei der ersten Übersetzerin aus akustischen Gründen zu Verständnisproblemen gekommen sei. Den zweiten Dolmetscher habe er jedoch problemlos verstanden und er erhob anlässlich der Rückübersetzung auch keine auf den Inhalt seiner Aussagen bezogene Einwände (vgl. Protokoll der Anhörung vom 3. Juli 2012, S. 7 und S. 9). Die an der Anhörung anwesende Hilfswerkvertreterin merkte einzig an, die gesundheitliche Situation des Beschwerdeführers in Bezug auf seine Hörschwäche sei abzuklären. Dies könne allenfalls Aufschluss geben über die Glaubwürdigkeit seines Berichts beziehungsweise seiner Aussagen (vgl. Anhang des Anhörungsprotokolls vom 3. Juli 2012).</w:t>
      </w:r>
    </w:p>
    <w:p>
      <w:r>
        <w:rPr>
          <w:b/>
        </w:rPr>
        <w:t>E. 6.3</w:t>
      </w:r>
    </w:p>
    <w:p>
      <w:r>
        <w:t>Nach dem Gesagten geht die Rüge des Beschwerdeführers fehl, die Vorinstanz habe den Sachverhalt nicht genügend abgeklärt beziehungsweise unrichtig festgestellt. Unter Berücksichtigung der Aussagen des Beschwerdeführers sowie seiner Eingaben erachtet das Gericht den rechtserheblichen Sachverhalt als erstellt. Der Antrag, der Beschwerdeführer sei nochmals zu befragen, wird demnach abgewiesen.</w:t>
      </w:r>
    </w:p>
    <w:p>
      <w:r>
        <w:rPr>
          <w:b/>
        </w:rPr>
        <w:t>E. 7.1</w:t>
      </w:r>
    </w:p>
    <w:p>
      <w:r>
        <w:t>Entgegen der Ansicht der Vorinstanz erachtet das Bundesverwaltungsgericht die Schilderungen des Beschwerdeführers nicht als überwiegend unglaubhaft, weshalb nicht ausgeschlossen werden kann, dass ihm in seinem Herkunftsland Blutrache drohe. Die Frage der Glaubhaftigkeit kann angesichts der nachfolgenden Erwägungen vorliegend allerdings offen gelassen werden.</w:t>
      </w:r>
    </w:p>
    <w:p>
      <w:r>
        <w:rPr>
          <w:b/>
        </w:rPr>
        <w:t>E. 7.2</w:t>
      </w:r>
    </w:p>
    <w:p>
      <w:r>
        <w:t>Die Vorinstanz ist zu Recht von der fehlenden Asylrelevanz der Vorbringen des Beschwerdeführers ausgegangen. Der Beschwerdeführer macht ausschliesslich von Privatpersonen ausgehende Verfolgungsmassnahmen geltend. Damit handelt es sich nicht um eine asylrechtliche Verfolgung im Sinn von Art. 3 Abs. 1 AsylG, welche die Flüchtlingseigenschaft zu begründen vermöchte. Einerseits fehlt es bei einer privaten Blutfehde am Erfordernis der flüchtlingsrechtlich relevanten Verfolgungsmotivation, weil diese nicht aus einem in Art. 3 Abs. 1 AsylG genannten Grund erfolgt. Andererseits sind Übergriffe von privaten Dritten nur dann flüchtlingsrechtlich relevant, wenn es der betroffenen Person nicht möglich ist, im Heimatland Schutz davor zu finden. Der Schutz ist dann als ausreichend zu qualifizieren, wenn eine Person effektiv Zugang zu einer funktionierenden staatlichen Infrastruktur hat und ihr deren Inanspruchnahme zumutbar ist, wobei von einem Staat nicht erwartet werden kann, dass er jederzeit präventiv in die Lebensbereiche seiner Bürger eingreifen kann. Ist kein ausreichender Schutz möglich, setzt die Anerkennung der Flüchtlingseigenschaft zudem voraus, dass die betroffene Person einer landesweiten Verfolgung ausgesetzt ist und nicht in einem anderen Teil ihres Heimatstaates Schutz finden kann (vgl. BVGE 2008/12 E. 7.2.6.1 S. 173 ff., 2008/4 E. 5.2 S. 37 f.).</w:t>
      </w:r>
    </w:p>
    <w:p>
      <w:r>
        <w:rPr>
          <w:b/>
        </w:rPr>
        <w:t>E. 7.3</w:t>
      </w:r>
    </w:p>
    <w:p>
      <w:r>
        <w:t>Der Kosovo wurde mit Beschluss des Bundesrats vom 6. März 2009 als verfolgungssicherer Staat (Safe Country) eingestuft. Gemäss aktueller Rechtsprechung des Bundesverwaltungsgerichts gehen die zuständigen Behörden im Kosovo im Rahmen ihrer Möglichkeiten konsequent gegen Bedrohungen und Übergriffe durch Privatpersonen vor. Insofern ist vom Schutzwillen und von der weitgehenden Schutzfähigkeit der Sicherheitsbehörden auszugehen (vgl. Urteil des Bundesverwaltungsgerichts D 2562/2013 vom 16. Mai 2013 E. 4.1 f. mit Hinweis auf BVGE 2011/50 E. 4.7). Der Beschwerdeführer gab an seinen Befragungen schliesslich auch an, er habe die Behelligungen der Familie des Getöteten jeweils bei der Polizei angezeigt. Diese hätten die Anzeige zwar stets entgegengenommen, ihm aber keine Sicherheit garantieren können, was ihnen auch sehr leid getan habe. Beim Eintreffen der Polizei bei seinem Haus seien die Verfolger jeweils bereits unauffindbar gewesen (vgl. Protokoll der BzP S. 8; Protokoll der Anhörung F8, F14, F34 f.). Daraus geht hervor, dass sich die kosovarische Polizei auch im konkreten Fall des Beschwerdeführers ihren Möglichkeiten entsprechend für dessen Schutz eingesetzt hat.</w:t>
      </w:r>
    </w:p>
    <w:p>
      <w:r>
        <w:rPr>
          <w:b/>
        </w:rPr>
        <w:t>E. 7.4</w:t>
      </w:r>
    </w:p>
    <w:p>
      <w:r>
        <w:t>Die Vorbringen des Beschwerdeführers halten nach dem Gesagten den Anforderungen an die Asylrelevanz nicht stand. Die Vorinstanz hat die Flüchtlingseigenschaft des Beschwerdeführers zu Recht verneint und sein Asylgesuch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 m.w.H.).</w:t>
      </w:r>
    </w:p>
    <w:p>
      <w:r>
        <w:rPr>
          <w:b/>
        </w:rPr>
        <w:t>E. 9.2.1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Im Zusammenhang zur geltend gemachten Blutrache ist zu prüfen, ob der Beschwerdeführer im Falle einer Ausschaffung in den Heimatstaat mit beachtlicher Wahrscheinlichkeit einer nach Art. 3 EMRK respektive Art. 1 FoK verbotene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37201/06, §§ 124 127, m.w.H.). In ihrem Entscheid vom 2. März 1995 (Nr. 24573/94) hat die Europäische Menschenrechtskommission die Gefahr einer von nichtstaatlichen Urhebern ausgehenden Verfolgung unter dem Blickwinkel von Art. 3 EMRK geprüft und dabei unterstrichen, es komme allein auf das Bestehen einer objektiven Gefahr an. Auch der EGMR vertrat in seinem Urteil Ahmed gegen Österreich die Auffassung des absoluten Charakters von Art. 3 EMRK. Die Anwendbarkeit dieser Bestimmung auf nichtstaatliche Akteure wurde mithin bejaht und ist vom Verhalten der betreffenden Person unabhängig (vgl. Urteil des EGMR Ahmed gegen Österreich vom 17. Dezember 1996, 25964/94, Recueil CourEDH 1996-VI S. 2195 Ziff. 46; seither ständige Praxis). Bereits die ARK ging davon aus, die Anwendung von Art. 3 EMRK setze nicht zwingend voraus, die drohende menschenrechtswidrige Behandlung müsse von staatlichen Organen ausgehen (vgl. EMARK 2004 Nr. 14 E. 5b und 1996 Nr. 18 S. 182 ff.). Hinsichtlich die geschützten Rechtsgüter ist der Anwendungsbereich von Art. 3 EMRK enger als derjenige des flüchtlingsrechtlichen Non-Refoulement-Prinzips, zumal er nur den Schutz vor drohender Folter, unmenschlicher Behandlung oder Strafe und anderen schwerwiegenden Verletzungen der körperlichen oder psychischen Integrität einer Person sowie unmenschliche Strafen als Folge gemeinrechtlicher Delikte umfasst. Die Anforderungen, welche die europäischen Organe an den Nachweis drohender unmenschlicher Behandlung stellen, sind als relativ hoch zu bezeichnen. Die bei der Prüfung der Flüchtlingseigenschaft gemäss Asylgesetz gestellten Anforderungen genügen hier nicht. Zwar wird kein eigentlicher Beweis gefordert, doch wird eine Rückschiebung nur dann für unzulässig erachtet, wenn "konkrete und ernsthafte Gefahr" besteht, dass die betroffene Person eine schwere Menschenrechtsverletzung erleiden wird (vgl. Urteil Saadi gegen Italien, a.a.O.; EMARK 1996 Nr. 18 S. 186 f.). Der Gerichtshof hielt hierzu fest, die blosse Möglichkeit einer Misshandlung führe nicht zur Verletzung von Art. 3 EMRK. Es müssten stichhaltige Gründe für die Annahme vorliegen, dass die betroffene Person im Fall einer Auslieferung einem realen Risiko ausgesetzt sei, im betreffenden Staat Folter, unmenschlicher Behandlung oder Strafe unterworfen zu sein (vgl. Urteil des EGMR Soering gegen Vereinigtes Königreich vom 7. Juli 1989, 14038/88; seither ständige Praxis; vgl. zum Ganzen Urteil des Bundesverwaltungsgerichts E-7121/2013 E. 7.4.1).</w:t>
      </w:r>
    </w:p>
    <w:p>
      <w:r>
        <w:rPr>
          <w:b/>
        </w:rPr>
        <w:t>E. 9.2.4</w:t>
      </w:r>
    </w:p>
    <w:p>
      <w:r>
        <w:t>Vorliegend hat der Beschwerdeführer - wie bereits unter Erwägung 7 ausgeführt - die Möglichkeit, sich bei einer allfälligen Art. 3 EMRK zuwiderlaufenden Behandlung seitens Dritter, an die staatlichen Behörden zu wenden, welche als schutzfähig und schutzwillig gelten. Im Übrigen kann er durch innerstaatliche Schutzalternativen in anderen Landesteilen Zuflucht und Schutz finden. Von einer innerstaatlichen Schutzalternative ist grundsätzlich immer dann auszugehen, wenn eine Person nur in einem Teil oder in begrenzten Teilen des Heimatlandes ernsthaften Nachteilen ausgesetzt ist oder solche Nachteile zu befürchten hat und in anderen Landesteilen Zuflucht und Schutz finden kann. Demnach ist das Vorliegen einer genügend konkreten Gefahr zu verneinen, dass sich die Blutrache mit hinreichender Wahrscheinlichkeit realisieren wird. Dem Beschwerdeführer steht es offen, durch Verlegung seines Wohnsitzes einer allfällig drohenden Gefahr für Leib und Leben zu entgehen. Er ist somit durch eine Rückkehr in sein Heimatland keinem realen Risiko einer Verletzung von Art. 3 EMRK ausgesetzt. Diese Einschätzung wird auch nicht durch die (kommentarlose) Einreichung der Erklärung zweier Personen vom 18. September 2012 umgestossen. Im Übrigen kann die Ausweisung einer unter gesundheitlichen Beschwerden leidenden Person nur unter ganz aussergewöhnlichen Umständen eine Verletzung von Art. 3 EMRK zur Folge haben (vgl. Urteil des EGMR N. gegen Vereinigtes Königreich vom 27. Mai 2008, 26565/05,Ziffn. 34, 42, 43, 44, Beschwerde Nr. ; BVGE 2009/2 E. 9.1.3; EMARK 2004 Nr. 6 E. 7 S. 40 ff.); eine derartige Situation ist vorliegend klar nicht gegeben.</w:t>
      </w:r>
    </w:p>
    <w:p>
      <w:r>
        <w:rPr>
          <w:b/>
        </w:rPr>
        <w:t>E. 9.2.5</w:t>
      </w:r>
    </w:p>
    <w:p>
      <w:r>
        <w:t>Folglich ist der Vollzug der Wegweisung sowohl im Sinn der asyl- als auch der völkerrechtlichen Bestimmungen zulässig.</w:t>
      </w:r>
    </w:p>
    <w:p>
      <w:r>
        <w:rPr>
          <w:b/>
        </w:rPr>
        <w:t>E. 9.3.1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9.3.2</w:t>
      </w:r>
    </w:p>
    <w:p>
      <w:r>
        <w:t>In diesem Zusammenhang reichte der Beschwerdeführer einen Arztbericht vom 18. August 2012 zu den Akten, welcher seine anlässlich der Anhörungen gemachten Angaben bestätigt, wonach er unter einem schweren beidseitigem Hörschaden und unter Kopfschmerzen leide. Eine Behandlung der Beschwerden sei wohl auch im Kosovo möglich, zumal hierzu vermutlich jeder Arzt geeignet sei.</w:t>
      </w:r>
    </w:p>
    <w:p>
      <w:r>
        <w:rPr>
          <w:b/>
        </w:rPr>
        <w:t>E. 9.3.3</w:t>
      </w:r>
    </w:p>
    <w:p>
      <w:r>
        <w:t>Das BFM hielt dazu in der angefochtenen Verfügung zu Recht fest, die Ärzte würden keinen akuten Behandlungsbedarf erkennen und es werde auch keine konkrete nützliche Behandlung empfohlen, welche im Kosovo nicht erhältlich wäre. Nach Praxis des Bundesverwaltungsgerichts ist gemäss Art. 83 Abs. 4 AuG aus medizinischen Problemen nur dann auf Unzumutbarkeit des Wegweisungsvollzugs zu schliessen, wenn eine notwendige Behandlung im Heimatland nicht zur Verfügung steht und die Rückkehr zu einer raschen und lebensgefährdenden Beeinträchtigung des Gesundheitszustandes, zur Invalidität oder sogar zum Tod der betroffenen Person führt. Als wesentlich wird dabei die allgemeine und dringende medizinische Behandlung erachtet, welche zur Gewährleistung einer menschenunwürdigen Existenz absolut notwendig ist. Unzumutbarkeit liegt jedenfalls dann noch nicht vor, wenn im Heimat- oder Herkunftsstaat eine nicht dem schweizerischen Standard entsprechende medizinische Behandlung möglich ist (vgl. BVGE 2009/2 E. 9.3.2, BVGE 2009/52 E. 10.1, BVGE 2009/51 E. 5.5, BVGE 2009/28 E. 9.3.1, je mit weiteren Hinwei­sen).</w:t>
      </w:r>
    </w:p>
    <w:p>
      <w:r>
        <w:rPr>
          <w:b/>
        </w:rPr>
        <w:t>E. 9.3.4</w:t>
      </w:r>
    </w:p>
    <w:p>
      <w:r>
        <w:t>Das Bundesverwaltungsgericht schliesst sich damit der Beurteilung des BFM an. Die Sicherheitslage hat sich in den vergangenen Jahren tatsächlich verbessert oder zumindest stabilisiert. Die gesundheitlichen Leiden des Beschwerdeführers wurden seinen eigenen Angaben zufolge im Kosovo bereits operiert und behandelt. Eine medizinische Behandlung seiner aktuellen Beschwerden ist gemäss den eingereichten Arztberichten zudem im Kosovo nach wie vor erhältlich, weshalb er nicht auf die hiesige medizinische Infrastruktur angewiesen ist (vgl. Arztbericht vom 18. August 2012 Frage 5). Der Beschwerdeführer gehört ausserdem der im Kosovo dominierenden Ethnie der Albaner an. Der Zugang zur medizinischen Versorgung sollte für ihn nicht problematisch sein. Im Übrigen steht ihm die Möglichkeit offen, medizinische Rückkehrhilfe zu beanspruchen. Es ist schliesslich davon auszugehen, dass er seinen Lebensunterhalt wieder durch die Arbeit auf dem Bau wird verdienen können und er durch seine in der Schweiz lebenden Familienmitglieder weiterhin finanziell unterstützt wird (vgl. Protokoll der Anhörung F50). Weitere Gründe, welche gegen die Zumutbarkeit des Wegweisungsvollzugs sprechen würden, sind nicht ersichtlich.</w:t>
      </w:r>
    </w:p>
    <w:p>
      <w:r>
        <w:rPr>
          <w:b/>
        </w:rPr>
        <w:t>E. 9.3.5</w:t>
      </w:r>
    </w:p>
    <w:p>
      <w:r>
        <w:t>Nach dem Gesagten erweist sich der Vollzug der Wegweisung auch als zumutbar.</w:t>
      </w:r>
    </w:p>
    <w:p>
      <w:r>
        <w:rPr>
          <w:b/>
        </w:rPr>
        <w:t>E. 9.4</w:t>
      </w:r>
    </w:p>
    <w:p>
      <w:r>
        <w:t>Schliesslich verfügt der Beschwerdeführer über eine gültige Identitätskarte sowie einen gültigen Reisepass, weshalb der Vollzug der Wegweisung auch als möglich zu bezeichnen ist (Art. 83 Abs. 2 AuG).</w:t>
      </w:r>
    </w:p>
    <w:p>
      <w:r>
        <w:rPr>
          <w:b/>
        </w:rPr>
        <w:t>E. 9.5</w:t>
      </w:r>
    </w:p>
    <w:p>
      <w:r>
        <w:t>Zusammenfassend hat die Vorinstanz den Wegweisungsvollzug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und den rechtserheblichen Sachverhalt richtig und vollständig feststellt (Art. 106 AsylG). Die Beschwerde ist nach dem Gesagten abzuweisen.</w:t>
      </w:r>
    </w:p>
    <w:p>
      <w:r>
        <w:rPr>
          <w:b/>
        </w:rPr>
        <w:t>E. 11</w:t>
      </w:r>
    </w:p>
    <w:p>
      <w:r>
        <w:t>Bei diesem Ausgang des Verfahrens wären die Kosten dem Beschwerdeführer aufzuerlegen (Art. 63 Abs. 1 VwVG). Mit Verfügung vom 12. Oktober 2012 hiess die Instruktionsrichterin das Gesuch um Gewährung der unentgeltlichen Prozessführung gut, weshalb von der Erhebung von Verfahrenskosten abzusehen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