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E-5030/2012 vom 28. September 2012</w:t>
      </w:r>
    </w:p>
    <w:p>
      <w:r>
        <w:t>Bundesverwaltungsgericht, 2012-09-28, DE</w:t>
      </w:r>
    </w:p>
    <w:p>
      <w:r>
        <w:rPr>
          <w:b/>
        </w:rPr>
        <w:t xml:space="preserve">Quelle: </w:t>
      </w:r>
      <w:r>
        <w:t>https://mcp.opencaselaw.ch/entscheid/bvger_E-5030_2012</w:t>
      </w:r>
    </w:p>
    <w:p>
      <w:r>
        <w:t>FR: TAF E-5030/2012 du 28 septembre 2012</w:t>
      </w:r>
    </w:p>
    <w:p>
      <w:r>
        <w:t>IT: TAF E-5030/2012 del 28 settembre 2012</w:t>
      </w:r>
    </w:p>
    <w:p>
      <w:pPr>
        <w:pStyle w:val="Heading2"/>
      </w:pPr>
      <w:r>
        <w:t>Regeste</w:t>
      </w:r>
    </w:p>
    <w:p>
      <w:r>
        <w:t>Nichteintreten auf Asylgesuch (Identitätstäuschung)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Der Beschwerdeführer ist als Verfügungsadressat zur Beschwerdeführung legitimiert (Art. 48 VwVG). Auf die fristgerecht eingereichte Beschwerde (Art. 108 Abs. 2 AsylG) ist - unter Vorbehalt nachfolgender Erwägungen - einzutreten.</w:t>
      </w:r>
    </w:p>
    <w:p>
      <w:r>
        <w:rPr>
          <w:b/>
        </w:rPr>
        <w:t>E. 1.2</w:t>
      </w:r>
    </w:p>
    <w:p>
      <w:r>
        <w:t>Soweit der Beschwerdeführer mit vorgedrucktem Standardformular Anträge zum Verfahren stellt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in einer separaten Verfügung darüber informiert zu werden -,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Bei Beschwerden gegen Nichteintretensentscheide, mit denen es das BFM ablehnt, das Asylgesuch auf seine Begründetheit hin zu über-prüfen (Art. 32 - 35a AsylG), ist der Prozessgegenstand grundsätzlich auf die Frage beschränkt, ob die Vorinstanz zu Recht auf das Asylgesuch nicht eingetreten ist. Der Antrag, die Flüchtlingseigenschaft sei anzuerkennen und Asyl zu gewähren, liegt ausserhalb des zulässigen Prozessgegenstandes. Auf die Beschwerde ist insoweit nicht einzutreten.</w:t>
      </w:r>
    </w:p>
    <w:p>
      <w:r>
        <w:rPr>
          <w:b/>
        </w:rPr>
        <w:t>E. 2.3</w:t>
      </w:r>
    </w:p>
    <w:p>
      <w:r>
        <w:t>Die Beschwerde erweist sich im Übrigen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32 Abs. 2 Bst. b AsylG wird auf ein Asylgesuch nicht eingetreten, wenn die asylsuchende Person die Behörden über ihre Identität täuschen und diese Täuschung aufgrund der Ergebnisse der erkennungsdienstlichen Behandlung oder anderer Beweismittel feststeht.</w:t>
      </w:r>
    </w:p>
    <w:p>
      <w:r>
        <w:rPr>
          <w:b/>
        </w:rPr>
        <w:t>E. 3.2</w:t>
      </w:r>
    </w:p>
    <w:p>
      <w:r>
        <w:t>Die Vorinstanz hat in ihrer Verfügung vom 14. September 2012 aufgezeigt, dass der Beschwerdeführer nicht wie von ihm angegeben B._______ (geb. [...]) ist. Sie hat über die Schweizer Botschaft in Georgien eine Identitätsabklärung veranlasst, gemäss welcher die Identität des Beschwerdeführers A._______, Sohn von C._______, geboren am (...), ID-NR. (...), registriert in D._______, lautet. Der Beschwerdeführer bestreitet die Identitätstäuschung nicht. Er bringt erstmals vor Beschwerdeinstanz vor, er habe sich in Italien aufgehalten und stellt damit die Zuständigkeit in Abrede. Das Vorbringen ist ohne nähere Begründung geblieben, offensichtlich nachgeschoben und daher unglaubhaft. Im Übrigen zeigt der Beschwerdeführer nicht ansatzweise auf, inwiefern die angefochtene Verfügung Bundesrecht verletzen oder auf einer fehlerhaften Sachverhaltsfeststellung beruhen soll. Solches ist auch nicht ersichtlich. Die Vorinstanz ist zu Recht auf das Asylgesuch nicht eingetreten.</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Georgien noch individuelle Gründe lassen auf eine konkrete Gefährdung im Falle einer Rückkehr des Beschwerdeführers nach Georgien schliessen. Der Vollzug der Wegweisung ist demnach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6</w:t>
      </w:r>
    </w:p>
    <w:p>
      <w:r>
        <w:t>Aus den vorstehenden Erwägungen ergibt sich, dass die angefochtene Verfügung Bundesrecht nicht verletzt und auch kein anderer Beschwerdegrund erfüllt ist (Art. 106 Abs. 1 AsylG). Die Beschwerde ist abzuweisen, soweit darauf eingetreten werden kann.</w:t>
      </w:r>
    </w:p>
    <w:p>
      <w:r>
        <w:rPr>
          <w:b/>
        </w:rPr>
        <w:t>E. 7</w:t>
      </w:r>
    </w:p>
    <w:p>
      <w:r>
        <w:t>Dem Ersuchen des Beschwerdeführers um Gewährung der unentgeltlichen Rechtspflege kann nicht entsprochen werden, weil sein Begehren als aussichtslos zu gelten hat (Art. 65 Abs. 1 und Abs. 2 VwVG). Der Beschwerdeführer hat daher die Kosten des vorliegenden Verfahrens zu tragen (Art. 63 Abs. 1 VwVG), die auf Fr. 600.- festzusetzen sind (Art. 1 - 3 des Reglements vom 21. Februar 2008 über die Kosten und Entschädigungen vor dem Bundesverwaltungsgericht [VGKE, SR 173.320.2]). Das Gesuch um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