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E-5027/2009 vom 13. Dezember 2011</w:t>
      </w:r>
    </w:p>
    <w:p>
      <w:r>
        <w:t>Bundesverwaltungsgericht, 2011-12-13, DE</w:t>
      </w:r>
    </w:p>
    <w:p>
      <w:r>
        <w:rPr>
          <w:b/>
        </w:rPr>
        <w:t xml:space="preserve">Quelle: </w:t>
      </w:r>
      <w:r>
        <w:t>https://mcp.opencaselaw.ch/entscheid/bvger_E-5027_2009</w:t>
      </w:r>
    </w:p>
    <w:p>
      <w:r>
        <w:t>FR: TAF E-5027/2009 du 13 décembre 2011</w:t>
      </w:r>
    </w:p>
    <w:p>
      <w:r>
        <w:t>IT: TAF E-5027/2009 del 13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verneinte die Flüchtlingseigenschaft des Beschwerdeführers, lehnte sein Asylgesuch ab und wies ihn aus der Schweiz weg. In seiner Rechtsmitteleingabe beantragte er die Aufhebung der Verfügung, soweit den Wegweisungsvollzug betreffend (Ziffern 4 und 5 des Dispositivs). Die Verneinung der Flüchtlingseigen­schaft, die Ab­lehnung des Asylge­suchs und die Wegweisung an sich blieben somit unangefoch­ten und sind mit Ablauf der Beschwerdefrist in Rechtskraft er­wachsen (Dispositivziffern 1-3). Es ist deshalb einzig zu prüfen, ob die Wegweisung zu voll­zie­hen oder ob anstelle des Voll­zugs eine vor­läu­fige Aufnahme anzu­ord­nen sei (Art. 44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 wie nachfolgend dargelegt - der Vollzug der Wegweisung als unzumutbar erweist, ist auf eine Er­örterung der bei­den andern Voraussetzungen eines rechtmässigen Wegweisungs­vollzugs zu verzichten. 5.1.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sich im nach wie vor gültigen Grundsatzurteil BVGE 2008/5 vom 14. März 2008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5.2. Von der Vorinstanz wurde in ihrer Verfügung die allgemein angespannte Sicherheitslage im Irak nicht in Zweifel gezogen. Weiter ging sie davon aus, dass in den drei von der kurdischen Regionalregierung kontrollierten nordirakischen Provinzen Dohuk, Erbil und Sulaymanyia keine Situation allgemeiner Gewalt herrsche und der Wegweisungsvollzug dorthin grundsätzlich zumutbar sei. Der Beschwerdeführer mache zwar geltend, nicht aus einer dieser Provinzen zu stammen. Der Vollzug seiner Wegweisung sei aber dennoch zumutbar, da seine undifferenzierten Angaben zu C._______ den Eindruck erweckten, dass er sich seit langer Zeit nicht mehr dort aufgehalten habe. Es sei nicht Aufgabe des BFM nach etwaigen Wegweisungsvollzugshindernissen in hypothetischen Aufenthaltsorten des Beschwerdeführers zu forschen. Ausserdem verfüge der Beschwerdeführer über eine Schwester in D._______, Provinz Dohuk, weshalb es ihm zumutbar sei, sich dort niederzulassen. Da er zudem für seine Ausreise 10'000 US-Dollar zur Verfügung gehabt habe, könne davon ausgegangen werden, dass er und / oder seine Verwandten über erhebliche finanzielle Mittel verfügen würden. 5.3. Der Beschwerdeführer entgegnete in seiner Rechtsmitteleingabe, er habe nicht über längere Zeit in einer der drei kurdischen Provinzen gelebt. Alleine der Aufenthalt seiner verheirateten Schwester in D._______ könne nicht als ausreichendes soziales Netz bezeichnet werden. Weiter seien seine Antworten betreffend seines Heimatdorfes in Anbetracht seines niedrigen Bildungsstandes - er sei Analphabet - nachvollziehbar. Wenn das BFM von einem längeren Aufenthalt des Beschwerdeführers in einer der drei zumutbaren Provinzen im Nordirak ausgehe, hätte es eine genaue Herkunftsanalyse mittels eines LINGUA-Gutachtens erstellen müssen. Indem es dies unterlassen habe, habe es den Untersuchungsgrundsatz verletzt. 5.4. Die Vorinstanz argumentierte in ihrer Vernehmlassung erneut, der Beschwerdeführer habe auf Fragen zu seinem Herkunftsort C._______ nur sehr allgemein geantwortet und sei den Fragen ausgewichen. Die Kenntnisse betreffend seines Heimatortes würden ausserdem nicht von seinem Bildungsstand abhängen. Weiter spreche das völlige Fehlen von Kenntnissen der arabischen Sprache dafür, dass er sich schon seit langer Zeit nicht mehr dort aufgehalten habe. Alleine der Umstand, dass seine Ausweispapiere in C._______ ausgestellt worden seien, sei kein Beweis dafür, dass er die letzten Jahre auch tatsächlich dort gelebt habe. Da er eine Schwester in D._______ habe, könne davon ausgegangen werden, dass er für einen allfälligen Neustart in den Nordirak gehen und auf die Unterstützung seiner Familie zählen könne, weshalb offen bleiben könne, ob er tatsächlich aus C._______ stamme, womit sich die Durchführung einer Herkunftsanalyse erübrige. 5.5. In seiner Replik wies der Beschwerdeführer darauf hin, dass er nie in einer der drei kurdischen Provinzen im Nordirak gelebt habe und auch nicht von dort stamme, weshalb der Wegweisungsvollzug dorthin unzumutbar sei. Es sei durch Dokumente, welche von der Vorinstanz nicht angezweifelt worden seien, nachgewiesen, dass er aus C._______ stamme. 5.6. Der Argumentation der Vorinstanz, es sei nicht Aufgabe des BFM, nach etwaigen Wegweisungsvollzugshindernissen in hypothetischen Aufenthaltsorten des Beschwerdeführers zu forschen und es sei diesem zumutbar, sich bei seiner Schwester in D._______ niederzulassen, kann nicht zugestimmt werden. Die Herkunft des Beschwerdeführers, welcher seine Identitätskarte und seinen Nationalitätenausweis zu den Akten gereicht hat, steht fest und wird auch von der Vorinstanz nicht grundsätzlich angezweifelt. Der Beschwerdeführer hat die Mitwirkungs- und Wahrheitspflicht nicht in solch grober Weise verletzt, dass es dem BFM unmöglich wäre, sich zur Zumutbarkeit des Vollzugs der Wegweisung zu äussern. Da der Wegweisungsvollzug in seinen Heimatort C._______, in der Gegend von Mosul nicht zumutbar ist, ist zu prüfen, ob die für eine Aufenthaltsalternative in einer der drei nordirakischen Provinzen Dohuk, Erbil und Sulaymanyia geforderten Bedingungen erfüllt sind. Beim Beschwerdeführer handelt es sich um einen alleinstehenden, jungen und gemäss Akten gesunden Mann, der aus C._______ stammt und gemäss eigenen Angaben immer dort gelebt hat. Sein Vater sei im Jahr 1999 verstorben, seine Mutter und ein Bruder sowie eine Tante und zwei Cousins lebten in C._______ und ein Onkel wohne in Mosul. Ein Schwester lebt in D._______, der Provinz Dohuk. Da der Beschwerdeführer jedoch weder ursprünglich aus dieser Provinz stammt noch während längerer Zeit dort gelebt hat, reicht alleine der Wohnsitz seiner Schwester nicht aus, um die Zumutbarkeit des Wegweisungsvollzuges dorthin zu begründen. Aus den Akten ergeben sich zudem keine Hinweise, welche darauf schliessen liessen, dass er in einer der drei von der kurdischen Regionalregierung kontrollierten nordirakischen Provinzen über ein tragfähiges Beziehungsnetz verfügen würde. Weiter fehlen Anhaltspunkte für eine Sicherung des Existenzminimums und eine gesicherte Wohnsituation bei einem Wegweisungsvollzug in diese drei Provinzen. Der Beschwerdeführer ist gemäss seinen Angaben Analphabet und verfügt über keine Ausbildung. Entgegen der Ansicht der Vorinstanz ergeben sich überdies aus den Akten keine hinreichenden Hinweise, wonach davon auszugehen wäre, dass der Beschwerdeführer und / oder seine Verwandten über erhebliche finanzielle Mittel verfügen würden, zumal er geltend gemacht hat, sein Land unter anderem wegen der Armut, in welcher er und seine Familie in Irak lebten, verlassen zu haben. Der Vollzug der Wegweisung des Beschwerdeführers ist somit als unzumutbar zu bezeichnen. Die Voraussetzungen für die Gewährung der vorläufigen Aufnahme sind erfüllt. Den Akten lassen sich keine Hinweise entnehmen, wonach er Beschwerdeführer einen der Tatbestände von Art. 83 Abs. 7 AuG erfüllen würde.</w:t>
      </w:r>
    </w:p>
    <w:p>
      <w:r>
        <w:rPr>
          <w:b/>
        </w:rPr>
        <w:t>E. 6</w:t>
      </w:r>
    </w:p>
    <w:p>
      <w:r>
        <w:t>Die Beschwerde ist nach dem Gesagten gutzuheissen. Die Ziffern 4 und 5 des Dispositivs der angefochtenen Verfügung des BFM vom 22. Juni 2009 sind aufzuheben und die Vorinstanz ist anzuweisen, den Beschwerdeführer in der Schweiz vorläufig aufzunehmen.</w:t>
      </w:r>
    </w:p>
    <w:p>
      <w:r>
        <w:rPr>
          <w:b/>
        </w:rPr>
        <w:t>E. 7</w:t>
      </w:r>
    </w:p>
    <w:p>
      <w:r>
        <w:t>Bei diesem Ausgang des Verfahrens und aufgrund der mit Zwischenverfügung vom 22. Juli 2009 gewährten unentgeltlichen Rechtspflege sind keine Kosten zu erheben (Art. 63 Abs. 1 VwVG).</w:t>
      </w:r>
    </w:p>
    <w:p>
      <w:r>
        <w:rPr>
          <w:b/>
        </w:rPr>
        <w:t>E. 8</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Mit Eingabe vom 7. Dezember 2012 hat der Rechtsvertreter eine Honorarnote im Umfang von total Fr. 1'195 (inklusive Auslagen) eingereicht, welche als leicht überhöht zu beurteilen ist. Gestützt auf die in Betracht zu ziehenden Bemessungsfaktoren (Art. 7 ff. VGKE) wird die Parteientschädigung auf angemessene Fr. 1'000.- (inkl. Auslagen)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