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E-5024/2017 vom 23. Oktober 2017</w:t>
      </w:r>
    </w:p>
    <w:p>
      <w:r>
        <w:t>Bundesverwaltungsgericht, 2017-10-23, DE</w:t>
      </w:r>
    </w:p>
    <w:p>
      <w:r>
        <w:rPr>
          <w:b/>
        </w:rPr>
        <w:t xml:space="preserve">Quelle: </w:t>
      </w:r>
      <w:r>
        <w:t>https://mcp.opencaselaw.ch/entscheid/bvger_E-5024_2017</w:t>
      </w:r>
    </w:p>
    <w:p>
      <w:r>
        <w:t>FR: TAF E-5024/2017 du 23 octobre 2017</w:t>
      </w:r>
    </w:p>
    <w:p>
      <w:r>
        <w:t>IT: TAF E-5024/2017 del 23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w:t>
      </w:r>
    </w:p>
    <w:p>
      <w:r>
        <w:t>Die Vorinstanz kommt zutreffend zum Schluss, dass die Vorbringen des Beschwerdeführers den Anforderungen an die Flüchtlingseigenschaft gemäss Art. 3 AsylG nicht standhalten. Der libanesische Staat ist grundsätzlich schutzfähig und schutzwillig. Eine solche Schutzsuche wäre dem Beschwerdeführer, der mit den libanesischen Behörden nie Probleme gehabt haben will und legal auf dem Luftweg ausreisen konnte, zumutbar (so auch Urteil des BVGer E-6877/2014 vom 19. Dezember 2016 E. 6.4, SEM-Akten, A4, S. 10 und A18, S. 7). Der einzig geltend gemachte Fluchtgrund soll der steigende Druck seitens der Hisbollah gewesen sein. Die diesbezüglich oberflächlichen Aussagen lassen indes nicht auf ernsthafte Nachteile im Sinne des Asylgesetzes schliessen (z. B. SEM-Akten, A18, S. 5 f.). Die Beschwerde stellt der angefochtenen Verfügung nichts Stichhaltiges entgegen. Vielmehr erschöpft sie sich in spärlichen Wiederholungen des bereits bekannten Sachverhalts, womit sie nicht aufzeigt, inwiefern die vorinstanzliche Beweiswürdigung Bundesrecht verletzen oder zu einer rechtsfehlerhaften Sachverhaltsfeststellung führen soll. Solches ist auch nicht ersichtlich. Dass der Beschwerdeführer sein Asylgesuch erst zweieinhalb Jahre nach seiner illegalen Einreise in die Schweiz und aufgrund einer Personenkontrolle gestellt hat, untermauert die Schlussfolgerung der Vorinstanz, an der die geplante Hochzeit mit seiner Partnerin ebenfalls nichts zu ändern vermag; der Beschwerdeführer hat - bis auf eine Kopie einer Identitätskarte - auch keine entsprechenden Unterlagen eingereicht. Um Wiederholungen zu vermeiden, ist auf die Erwägungen der Vorinstanz zu verweisen, die das Asylgesuch zu Recht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geht davon aus, dass die allgemeine Lage im Libanon nicht landesweit durch Krieg, Bürgerkrieg oder eine Situation allgemeiner Gewalt gekennzeichnet ist (statt vieler Urteile des BVGer E-6877/2014 vom 19. Dezember 2016 E. 8.3, D-4584/2015 vom 28. Oktober 2016 E. 6.4.1). Es liegen auch keine individuellen Wegweisungshindernisse vor, die auf eine Unzumutbarkeit des Wegweisungsvollzugs des gesunden Beschwerdeführers in seine Heimat schliessen lassen würden. So leben vor Ort seine Eltern, drei Brüder, eine Schwester, mehrere Onkel und Tanten in verschiedenen Teilen des Landes sowie mehrere Halbgeschwister (SEM-Akten, A4, S. 4 ff. und A18, S. 4 f.). Zu seiner Familie im Libanon pflegt er auch aus der Schweiz regelmässigen Kontakt (SEM-Akten, A18, S. 4). Schliesslich kann er auf langjährige Berufserfahrung mit ausreichendem Lohn zurückgreifen (SEM-Akten, A4, S. 4 und A18, S. 4 f.). Was hiergegen auf Beschwerdeebene vorgebracht wird, ist ebenfalls nicht geeignet, am Beweisergebnis etwas zu ändern. Schliesslich kann der Beschwerdeführer die geplante Eheschliessung im Ausland abwarten und sich die angebliche Partnerin nach der Heirat für die Frage des Familiennachzugs an die zuständige Behörde wenden. Der Vollzug der Wegweisung ist zumutbar.</w:t>
      </w:r>
    </w:p>
    <w:p>
      <w:r>
        <w:rPr>
          <w:b/>
        </w:rPr>
        <w:t>E. 6.4</w:t>
      </w:r>
    </w:p>
    <w:p>
      <w:r>
        <w:t>Nach Art. 83 Abs. 2 AuG ist der Vollzug auch als möglich zu bezeichnen, weil es dem Beschwerdeführer obliegt, sich die für eine Rückkehr notwendigen Reisedokumente - sofern notwendig -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