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E-501/2014 vom 4. Juni 2014</w:t>
      </w:r>
    </w:p>
    <w:p>
      <w:r>
        <w:t>Bundesverwaltungsgericht, 2014-06-04, DE</w:t>
      </w:r>
    </w:p>
    <w:p>
      <w:r>
        <w:rPr>
          <w:b/>
        </w:rPr>
        <w:t xml:space="preserve">Quelle: </w:t>
      </w:r>
      <w:r>
        <w:t>https://mcp.opencaselaw.ch/entscheid/bvger_E-501_2014</w:t>
      </w:r>
    </w:p>
    <w:p>
      <w:r>
        <w:t>FR: TAF E-501/2014 du 4 juin 2014</w:t>
      </w:r>
    </w:p>
    <w:p>
      <w:r>
        <w:t>IT: TAF E-501/2014 del 4 giugno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4.1</w:t>
      </w:r>
    </w:p>
    <w:p>
      <w:r>
        <w:t>Gemäss alt Art. 19 Abs. 1 AsylG kann ein Asylgesuch im Ausland bei einer schweizerischen Vertretung gestellt werden, welche es mit einem Bericht an das Bundesamt überweist (alt Art. 20 Abs. 1 AsylG). Einer Person, die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 von Art. 3 AsylG vorliegen oder der Person zuzumuten ist, sich in einem Drittstaat um Aufnahme zu bemühen (alt Art. 52 Abs. 2 AsylG).</w:t>
      </w:r>
    </w:p>
    <w:p>
      <w:r>
        <w:rPr>
          <w:b/>
        </w:rPr>
        <w:t>E. 4.2</w:t>
      </w:r>
    </w:p>
    <w:p>
      <w:r>
        <w:t>Für die Erteilung einer Einreisebewilligung gelten restriktive Voraussetzungen, wobei den Behörden ein weiter Ermessensspielraum zu­kommt.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Die Vorinstanz begründete ihren negativen Entscheid im Wesentlichen damit, dass die Beobachtung durch die sri-lankischen Behörden, die im Zusammenhang mit der allgemeinen Bekämpfung des Terrorismus der LTTE zu sehen seien, aufgrund mangelnder Intensität kein Verfolgungscharakter im Sinne von Art. 3 AsylG zukomme. Die vom Beschwerdeführer vorgebrachten Hausbesuche und -durchsuchungen und die damit verbundenen Beeinträchtigungen würden aufgrund ihrer Art und Intensität keinen ernsthaften Nachteil im Sinne von Art. 3 AsylG darstellen. Es läge deshalb keine einreiserelevante Gefährdung vor.</w:t>
      </w:r>
    </w:p>
    <w:p>
      <w:r>
        <w:rPr>
          <w:b/>
        </w:rPr>
        <w:t>E. 5.2</w:t>
      </w:r>
    </w:p>
    <w:p>
      <w:r>
        <w:t>In seiner Rechtsmitteleingabe legte der Beschwerdeführer dar, er könne nicht länger in Sri Lanka bleiben, da er unter einer ständigen Bedrohung lebe. Zur Begründung machte er im Wesentlichen denselben Sachverhalt geltend, den er bereits im Rahmen des erstinstanzlichen Verfahrens vorgebracht hatte. Zudem machte er geltend, dass er aufgrund seiner Kriegsverletzungen eine medizinische Behandlung im Ausland benötige und dass er während seiner Haft gefoltert worden sei. Er legte Briefe eines Pfarrers, eines Parlamentariers und eines ehemaligen Parlamentariers bei, welche festhielten, dass das Leben des Beschwerdeführers in Gefahr sei.</w:t>
      </w:r>
    </w:p>
    <w:p>
      <w:r>
        <w:rPr>
          <w:b/>
        </w:rPr>
        <w:t>E. 5.3.1</w:t>
      </w:r>
    </w:p>
    <w:p>
      <w:r>
        <w:t>Auch das Bundesverwaltungsgericht hegt an den Vorbringen des Beschwerdeführers keine grundsätzlichen Zweifel, wobei allerdings auffällt, dass er erst auf Beschwerdestufe von erlebter Folter während der Haft berichtet, weshalb dieses Vorbringen nachgeschoben und damit unglaubhaft erscheint. Die Glaubhaftigkeit dieses Vorbringens ist aber vorliegend ohnehin ohne wesentlichen Belang, zumal einzig von Bedeutung ist, ob der Beschwerdeführer im oben umschriebenen Sinn aktuell gefährdet ist. Insgesamt legt das Bundesverwaltungsgericht seiner Würdigung den unter Buchstaben A.b, A.c und C aufgenommenen Sachverhalt zu Grunde.</w:t>
      </w:r>
    </w:p>
    <w:p>
      <w:r>
        <w:rPr>
          <w:b/>
        </w:rPr>
        <w:t>E. 5.3.2</w:t>
      </w:r>
    </w:p>
    <w:p>
      <w:r>
        <w:t>Zwar macht der Beschwerdeführer geltend, nach seiner Zwangsrekrutierung (...) und dem zweimonatigen Training innerhalb der LTTE rasch aufgestiegen und im Umfeld von D._______ tätig gewesen zu sein; aufgrund seiner (...)verletzung sei er aber schon nach einem weiteren Monat nur noch (...) des F._______-Camps tätig gewesen. Im Rahmen der Rehabilitierung habe er sich zwar als Kader registrieren lassen, sei dann aber - nachdem er einem Offizier gesagt habe, er habe D._______ nicht mehr gesehen, seit er aus dem F._______-Camp weg sei - von diesem geohrfeigt und zu seinen Eltern gewiesen worden, die in der Linie der Zivilisten gestanden hätten. Anlässlich der ausführlichen Befragung zu seinen Asylgründen am 9. April 2013 macht der Beschwerdeführer - abgesehen von der erwähnten Ohrfeige und zahlreichen Befragungen im Verlaufe der Rehabilitiationszeit - keine weiteren Behelligungen mehr geltend, vielmehr sei er aufgrund seiner (...)verletzungen wieder in Spitalpflege gewesen und nach seiner (...) Ausbildung schliesslich zu seinen Eltern entlassen worden. Aus diesen Umständen ist nicht auf eine aktuelle Gefährdung des Beschwerdeführers seitens der staatlichen Behörden zu schliessen. Auch die regelmässigen Besuche der Behörden lassen nicht darauf schliessen, zumal der Beschwerdeführer anlässlich der Botschaftsbefragung angegeben hatte, es handle sich dabei um ein übliches - und damit nicht konkret gegen ihn gerichtetes - Vorgehen. Auch fehlt es diesen Besuchen, wie die Vorinstanz zutreffend festhält, an der nötigen Intensität, um im Sinne von Art. 3 AsylG relevant zu sein, selbst wenn eine gewisse subjektiv empfundene Furcht des Beschwerdeführers aufgrund des von ihm Erlebten und dem Umstand, dass möglicherweise LTTE-Mitglieder auch wieder festgenommen worden sind, verständlich ist. Allerdings scheint nicht ohne Weiteres nachvollziehbar, weshalb der Beschwerdeführer nicht wenigstens versucht hat, den ungünstigen Umständen durch einen Umzug nach I._______ auszuweichen, wo ihm von der Polizei sogar eine Arbeitsstelle genannt worden ist und wo er zudem laut eigenen Angaben Verwandte hat. Sein Einwand, seine Eltern hätten das nicht gewollt, überzeugt offensichtlich nicht. Von einer aktuellen Gefahr vor Verfolgung im Sinne von Art. 3 AsylG - und nur dies ist vorliegend zu prüfen - ist insgesamt nicht auszugehen. An dieser Einschätzung vermögen auch die zu den Akten gereichten Unterstützungsschreiben nichts zu ändern. Schliesslich vermag auch die in der Beschwerdeschrift geltend gemachte notwendige medizinische Behandlung im Ausland im vorliegenden Kontext nichts zu bewirken. Abschliessend kann, um Wiederholungen zu vermeiden, auf die ausführlichen und zutreffenden Erwägungen in der angefochtenen Verfügung verwiesen werden.</w:t>
      </w:r>
    </w:p>
    <w:p>
      <w:r>
        <w:rPr>
          <w:b/>
        </w:rPr>
        <w:t>E. 5.3.3</w:t>
      </w:r>
    </w:p>
    <w:p>
      <w:r>
        <w:t>Nach dem Gesagten ist zusammenfassend festzuhalten, dass der Beschwerdeführer zum jetzigen Zeitpunkt in Sri Lanka keiner Gefährdung im Sinne von Art. 3 AsylG ausgesetzt ist. Unter diesen Umständen hat das BFM dem Beschwerdeführer zu Recht die Erteilung der Einreisebewilligung verweigert und sein Asylgesuch abgewiesen.</w:t>
      </w:r>
    </w:p>
    <w:p>
      <w:r>
        <w:rPr>
          <w:b/>
        </w:rPr>
        <w:t>E. 6</w:t>
      </w:r>
    </w:p>
    <w:p>
      <w:r>
        <w:t>Aus diesen Erwägungen ergibt sich, dass die angefochtene Verfügung Bundesrecht nicht verletzt und den rechtserheblichen Sachverhalt richtig und vollständig feststellt (Art. 106 AsylG). Die Beschwerde ist demnach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