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E-501/2012 vom 2. Februar 2012</w:t>
      </w:r>
    </w:p>
    <w:p>
      <w:r>
        <w:t>Bundesverwaltungsgericht, 2012-02-02, DE</w:t>
      </w:r>
    </w:p>
    <w:p>
      <w:r>
        <w:rPr>
          <w:b/>
        </w:rPr>
        <w:t xml:space="preserve">Quelle: </w:t>
      </w:r>
      <w:r>
        <w:t>https://mcp.opencaselaw.ch/entscheid/bvger_E-501_2012</w:t>
      </w:r>
    </w:p>
    <w:p>
      <w:r>
        <w:t>FR: TAF E-501/2012 du 2 février 2012</w:t>
      </w:r>
    </w:p>
    <w:p>
      <w:r>
        <w:t>IT: TAF E-501/2012 del 2 febbraio 2012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im Sinne der Erwägungen gutgeheissen.</w:t>
      </w:r>
    </w:p>
    <w:p>
      <w:r>
        <w:rPr>
          <w:b/>
        </w:rPr>
        <w:t>E. 2</w:t>
      </w:r>
    </w:p>
    <w:p>
      <w:r>
        <w:t>Die angefochtene Verfügung vom 13. Januar 2012 wird aufgehoben und die Sache im Sinne der Erwägungen an die Vorinstanz zurückgewiesen.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BFM wird angewiesen, dem Beschwerdeführer eine Parteient­schädigung von Fr. 600.- auszurichten.</w:t>
      </w:r>
    </w:p>
    <w:p>
      <w:r>
        <w:rPr>
          <w:b/>
        </w:rPr>
        <w:t>E. 5</w:t>
      </w:r>
    </w:p>
    <w:p>
      <w:r>
        <w:t>Dieses Urteil geht an den Beschwerdeführer, das BFM und die zuständige kantonale Behörde. Die Einzelrichterin: Die Gerichtsschreiberin: Regula Schenker Senn Anna Poschung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