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E-5015/2016 vom 31. August 2016</w:t>
      </w:r>
    </w:p>
    <w:p>
      <w:r>
        <w:t>Bundesverwaltungsgericht, 2016-08-31, DE</w:t>
      </w:r>
    </w:p>
    <w:p>
      <w:r>
        <w:rPr>
          <w:b/>
        </w:rPr>
        <w:t xml:space="preserve">Quelle: </w:t>
      </w:r>
      <w:r>
        <w:t>https://mcp.opencaselaw.ch/entscheid/bvger_E-5015_2016</w:t>
      </w:r>
    </w:p>
    <w:p>
      <w:r>
        <w:t>FR: TAF E-5015/2016 du 31 août 2016</w:t>
      </w:r>
    </w:p>
    <w:p>
      <w:r>
        <w:t>IT: TAF E-5015/2016 del 31 agosto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SEM kann von der gesuchstellenden Person im Rahmen eines Wiedererwägungsverfahrens einen Gebührenvorschuss in der Höhe der mutmasslichen Verfahrenskosten verlangen. Es setzt zu dessen Leistung unter Androhung des Nichteintretens eine angemessen Frist (Art. 111d Abs. 3 AsylG). Mit Verfügung vom 6. Juli 2016 stellte das SEM die Aussichtslosigkeit des Wiedererwägungsgesuchs fest und forderte die Beschwerdeführerinnen auf, einen Gebührenvorschuss von Fr. 600.- bis zum 21. Juli 2016 zu bezahlen, ansonsten werde auf das Wiedererwägungsgesuch nicht eingetreten.</w:t>
      </w:r>
    </w:p>
    <w:p>
      <w:r>
        <w:rPr>
          <w:b/>
        </w:rPr>
        <w:t>E. 6</w:t>
      </w:r>
    </w:p>
    <w:p>
      <w:r>
        <w:t>Der Beschwerde vom 18. August 2016 lag eine Kopie eines Empfangsscheins bei, welcher eine Einzahlung von Fr. 600.- von A._______ ([...]) zugunsten des Staatssekretariats für Migration vom 15. Juli 2016 (abgestempelt in Bern) bestätigt. Unbestrittenermassen ist nach dem Gesagten davon auszugehen, dass der Gebührenvorschuss dem SEM innert Frist einbezahlt wurde.</w:t>
      </w:r>
    </w:p>
    <w:p>
      <w:r>
        <w:rPr>
          <w:b/>
        </w:rPr>
        <w:t>E. 7</w:t>
      </w:r>
    </w:p>
    <w:p>
      <w:r>
        <w:t>Zusammenfassend ist festzustellen, dass das SEM zu Unrecht auf das Wiedererwägungsgesuch der Beschwerdeführerinnen nicht eingetreten ist. Die angefochtene Verfügung ist daher aufzuheben und die Vorinstanz anzuweisen, das Wiedererwägungsverfahren wieder aufzunehmen und fortzusetzen.</w:t>
      </w:r>
    </w:p>
    <w:p>
      <w:r>
        <w:rPr>
          <w:b/>
        </w:rPr>
        <w:t>E. 8</w:t>
      </w:r>
    </w:p>
    <w:p>
      <w:r>
        <w:t>Bei diesem Ausgang des Verfahrens sind keine Kosten zu erheben (Art. 63 Abs. 1 und 2 VwVG). Den vertretenen Beschwerdeführerinnen ist angesichts ihres Obsiegens in Anwendung von Art. 64 VwVG und Art. 7 Abs. 1 VGKE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pauschal auf insgesamt Fr. 200.-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