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E-5014/2015 vom 28. Oktober 2015</w:t>
      </w:r>
    </w:p>
    <w:p>
      <w:r>
        <w:t>Bundesverwaltungsgericht, 2015-10-28, DE</w:t>
      </w:r>
    </w:p>
    <w:p>
      <w:r>
        <w:rPr>
          <w:b/>
        </w:rPr>
        <w:t xml:space="preserve">Quelle: </w:t>
      </w:r>
      <w:r>
        <w:t>https://mcp.opencaselaw.ch/entscheid/bvger_E-5014_2015</w:t>
      </w:r>
    </w:p>
    <w:p>
      <w:r>
        <w:t>FR: TAF E-5014/2015 du 28 octobre 2015</w:t>
      </w:r>
    </w:p>
    <w:p>
      <w:r>
        <w:t>IT: TAF E-5014/2015 del 28 ottobre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der Beschwerde kann im Asylpunkt eine Verletzung von Bundesrecht sowie eine unrichtige und unvollständige Feststellung des rechtserheblichen Sachverhalts gerügt werden (Art. 106 Abs. 1 AsylG), im Übrigen richten sich die Rügen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rügt vorab, die Vorinstanz habe den Sachverhalt unvollständig festgestellt und die Begründungspflicht verletzt.</w:t>
      </w:r>
    </w:p>
    <w:p>
      <w:r>
        <w:rPr>
          <w:b/>
        </w:rPr>
        <w:t>E. 3.2</w:t>
      </w:r>
    </w:p>
    <w:p>
      <w:r>
        <w:t>Unvollständig ist die Sachverhaltsfeststellung, wenn nicht alle für den Entscheid rechtswesentlichen Sachumstände berücksichtigt werden (Kölz/Häner/Bertschi, Verwaltungsverfahren und Verwaltungsrechtspflege des Bundes, 3. Aufl. 2013, Rz. 630). Soweit der Beschwerdeführer geltend macht, die Vorinstanz habe sich damit auseinandergesetzt, dass seine Familie im Iran lebe, trifft dies so nicht zu. Die Vor­instanz hat in der angefochten dargelegt, aus welchen Gründen sie davon ausgehe, dass sich die Familie nach wie vor im Heimatland aufhalte. Sodann bringt der Beschwerdeführer vor, zwischenzeitlich sei einer der beiden in Kabul lebenden Onkel gestorben und der andere nach Pakistan ausgereist. Da diese Vorbringen erstmals auf Beschwerdeebene vorgebracht werden, konnte die Vorinstanz darauf nicht eingehen. Weitergehend substantiieren die Beschwerdeführenden die erhobene Rüge nicht und den Akten sind keine entsprechenden Hinweise für eine unzureichende Sachverhaltsfeststellung zu entnehmen. Die erhobene Rüge erweist sich demnach als unbegründet.</w:t>
      </w:r>
    </w:p>
    <w:p>
      <w:r>
        <w:rPr>
          <w:b/>
        </w:rPr>
        <w:t>E. 3.3</w:t>
      </w:r>
    </w:p>
    <w:p>
      <w:r>
        <w:t>Auch die Rüge der Verletzung der Begründungspflicht geht fehl. Gemäss konstanter Rechtsprechung muss der Entscheid so abgefasst sein, dass der Betroffene ihn sachgerecht anfechten kann. Es müssen die Überlegungen kurz genannt werden, von denen sich die Behörde leiten liess und auf die sie ihren Entscheid stützt (BVGE 2009/35 E. 6.4.1). Vorliegend hat die Vorinstanz die wesentlichen Punkte in Bezug auf die persönlichen Verhältnisse bei einer Rückkehr nach Kabul angeführt, welche den Vollzug der Wegweisung dorthin als zumutbar erscheinen lassen. Die Beschwerde selbst zeigt denn auch, dass eine sachgerechte Anfechtung möglich war.</w:t>
      </w:r>
    </w:p>
    <w:p>
      <w:r>
        <w:rPr>
          <w:b/>
        </w:rPr>
        <w:t>E. 4.1</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Die Anforderungen an das Glaubhaftmachen hat das Bundesverwaltungsgericht in BVGE 2010/57 (E. 2.2 und 2.3) dargelegt und folgt dabei ständiger Praxis. Darauf kann hier verwiesen werden.</w:t>
      </w:r>
    </w:p>
    <w:p>
      <w:r>
        <w:rPr>
          <w:b/>
        </w:rPr>
        <w:t>E. 5.1</w:t>
      </w:r>
    </w:p>
    <w:p>
      <w:r>
        <w:t>Die Vorinstanz gelangt in der angefochtenen Verfügung zum Schluss, die Vorbringen des Beschwerdeführers hielten den Anforderungen an das Glaubhaftmachen gemäss Art. 7 AsylG nicht stand. Der Beschwerdeführer habe in wesentlichen Punkten widersprüchlich sowie realitätsfremd und damit insgesamt nicht glaubhaft ausgesagt. Angesichts der Tatsache, dass der Beschwerdeführer am 3. Oktober 2014 in Griechenland daktyloskopisch erfasst worden sei, sei nicht möglich, dass er im Jahre 2014 vom Iran nach Afghanistan zurückgeführt worden sei, um sich dort rund drei Monate aufzuhalten und darauf ungefähr ein Jahr im Iran zu sein. Sodann sei realitätsfremd, dass gegen den Bruder, obwohl er jemanden aus einer sehr einflussreichen Familie getötet habe, keine Ermittlungen eingeleitet worden seien. Ebenfalls mit der Realität nicht vereinbar sei, dass der Bruder, obwohl er der Polizei "die ganze Geschichte" erzählt habe, nicht zwecks weiteren Ermittlungen festgenommen worden sei. Schliesslich sei nicht nachvollziehbar, dass der Angreifer den Beschwerdeführer so lange unbeaufsichtigt gelassen habe, dass dieser einen Kilometer weit habe flüchten können. Zudem sei in diesem Zusammenhang fern jeder Realität, dass der Beschwerdeführer die Flugbahn eines Geschosses über einen Kilometer habe wahrnehme können und es sei unmöglich, mit einer Handfeuerwaffe über eine derartige Distanz zu schiessen.</w:t>
      </w:r>
    </w:p>
    <w:p>
      <w:r>
        <w:rPr>
          <w:b/>
        </w:rPr>
        <w:t>E. 5.2</w:t>
      </w:r>
    </w:p>
    <w:p>
      <w:r>
        <w:t>In der Rechtsmitteleingabe hält der Beschwerdeführer an der geltend gemachten Minderjährigkeit fest. Die von der Vorinstanz angeführten Kriterien seien nicht objektiv.</w:t>
      </w:r>
    </w:p>
    <w:p>
      <w:r>
        <w:rPr>
          <w:b/>
        </w:rPr>
        <w:t>E. 5.2.1</w:t>
      </w:r>
    </w:p>
    <w:p>
      <w:r>
        <w:t>Zur Altersabklärung stehen grundsätzlich die in Art. 12 Bst. a - e VwVG aufgezählten Beweismittel zur Verfügung: Urkunden, Auskünfte der Parteien, Auskünfte oder Zeugnis von Drittpersonen, Augenschein und Gutachten von Sachverständigen. Mit Bezug auf das Beweismass, dem Altersangaben zu genügen haben, ist von der allgemeinen Regel von Art. 7 AsylG auszugehen, das heisst die behauptete Minderjährigkeit muss zumindest glaubhaft erscheinen (Urteil des BVGer E-3722/2015 vom 18. Juni 2015; zu den Anforderung, vgl. vorstehende Ziff. 4). Es trifft nicht zu, dass die Vorinstanz den Schluss auf Volljährigkeit einzig mit dem Aussehen sowie dem Verhalten des Beschwerdeführers begründet hat. Zwar hat sie das Erscheinungsbild des Beschwerdeführers als Indiz angeführt. Indes hat sie darüber hinaus weitere Kriterien angeführt. Namentlich hat sie festgestellt, dass das sich aus der Taskara ergebende Geburtsdatum nicht mit den persönlichen Angaben des Beschwerdeführers übereinstimme. Gerade dieser Umstand fällt erheblich ins Gewicht, darf doch von einer Person erwartet werden, dass sie ihr Geburtsdatum grundsätzlich kennt beziehungsweise zumindest jeweils übereinstimmend angibt. Daran vermag auch der Umstand, dass in Afghanistan mit anderen Jahreszahlen gerechnet wird, nichts zu ändern. Weiter führte die Vor­instanz an, die Taskara liege lediglich in Kopie vor und gemäss ihren Erkenntnissen könnte eine solche in Afghanistan ohne weiteres käuflich erworben und leicht gefälscht werden. Diese Erkenntnisse decken sich mit denjenigen des Gerichts. Insgesamt hat die Vorinstanz somit hinreichende Indizien für die Zweifel an der geltend gemachten Minderjährigkeit angeführt. Aus dem blossen, weder substantiierten noch belegten Hinweis, er sei traumatisiert und bei der Einreise erschöpft gewesen, vermag der Beschwerdeführer in diesem Zusammenhang nichts zu seinen Gunsten abzuleiten. Gleiches gilt auch bezüglich des Einwandes, er sei ungebildet. Zwar hat er anlässlich der Erstbefragung angegeben, er sei Analphabet. Indes hat er das ihm im Empfangszentrum vorgelegte Personalienblatt selbst und in geübter Schrift ausgefüllt (Akten Vorinstanz A1/2). Ebenfalls hat er anlässlich beider Befragungen jede Protokollseite mit geübter Unterschrift unterzeichnet. Die vorinstanzliche Beweiswürdigung in Bezug auf die Minderjährigkeit des Beschwerdeführers ist demnach nicht zu beanstanden. Die Vorinstanz ist zu Recht von der Volljährigkeit des Beschwerdeführers ausgegangen. Bei dieser Sachlage besteht keine Veranlassung die Einschätzung des für den Beschwerdeführer zuständigen Sachbearbeiters oder anderer Fachpersonen zu berücksichtigen.</w:t>
      </w:r>
    </w:p>
    <w:p>
      <w:r>
        <w:rPr>
          <w:b/>
        </w:rPr>
        <w:t>E. 5.3</w:t>
      </w:r>
    </w:p>
    <w:p>
      <w:r>
        <w:t>Der Beschwerdeführer rügt weiter, die Vorinstanz habe den Massstab des Glaubhaftmachens nicht richtig angewendet und damit Bundesrecht verletzt. Die vorinstanzliche Beweiswürdigung in Bezug auf das Glaubhaftmachen ist ebenfalls nicht zu beanstanden. In der angefochtenen Verfügung wird im Einzelnen dargelegt, aus welchen Gründen die Vorbringen des Beschwerdeführers widersprüchlich sowie realitätsfremd und damit insgesamt nicht glaubhaft sind. Was in der Rechtsmitteleingabe dagegen vorgebracht wird, ist nicht geeignet, die Aussagen in einem anderen Licht erscheinen zu lassen. Namentlich vermag der Beschwerdeführer weder mit dem blossen Hinweis, er könne nicht strukturiert denken, noch dem nicht näher substantiierten Behaupten, seine Aussagen seien nicht realitätsfremd, die aufgezeigten zeitlichen Unstimmigkeiten sowie die Tatsachenwidrigkeiten auszuräumen. Schliesslich vermag er auch mit den allgemeinen Ausführungen zum Glaubhaftmachen nichts zu seinen Gunsten abzuleiten. Um Wiederholungen zu vermeiden, kann vollumfänglich auf die zutreffenden Erwägungen in der angefochtenen Verfügung verwiesen werden. Die Rüge erweist sich als unzutreffend.</w:t>
      </w:r>
    </w:p>
    <w:p>
      <w:r>
        <w:rPr>
          <w:b/>
        </w:rPr>
        <w:t>E. 5.4</w:t>
      </w:r>
    </w:p>
    <w:p>
      <w:r>
        <w:t>Der Beschwerdeführer hat somit nichts vorgebracht, das geeignet wäre, die Flüchtlingseigenschaft nachzuweisen oder glaubhaft zu machen.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Hauptstaat Kabul zu unterscheiden. Der Vollzug dorthin könne als zumutbar erachtet werden, wenn es sich beim Rückkehrer um einen jungen, gesunden Mann handele, der dort über ein tragfähiges soziales Netz verfüge, das ihn bei der Heimkehr unterstützen könne (BVGE 2011/7 E. 9.9). Diese Praxis hat nach wie vor Gültigkeit (Urteile des BVGer E-5273/2015 vom 19. Oktober 2015, mit weiteren Hinweisen). In seinem Bericht vom Januar 2015 bezeichnet das European Asylum Support Office (EASO) die Sicherheitslage in Kabul als relativ stabil (European Asylum Support Office (EASO), EASO Country of Origin Information Report: Afghanistan - Security Situation, https://easo.europa.eu/wp-content/uploads/-Afgahanistan-security-situation-EN.pdf, abgerufen am 23. Oktober 2015). Ähnliches ergibt sich aus weiteren Berichten (https://www.fluechtlingshilfe.ch/assets/herkunftslaender/mittlerer-osten-zentralasien/afghanistan/150913-afg-update-d.pdf, http://www.auswaertiges-amt.de/DE/Laenderinformationen/WeltweiterSiHi_node.html; beide abgerufen am 23. Oktober 2015). Zwar ist gegenüber der Lageanalyse in BVGE 2011/07 von einem Anstieg der Anschläge sowie von einer steigenden Kriminalität auszugehen. Die Anschläge richten sich indes vorwiegend gegen ausländische Zivilisten, öffentliche Gebäude sowie Staatsbeamte. Die EASO erachtet sodann die Wahrscheinlichkeit, dass Zivilisten Opfer eines Anschlages oder einer Straftat werden, als gering. Insgesamt lässt sich somit nicht auf eine Situation allgemeiner Gewalt schliessen.</w:t>
      </w:r>
    </w:p>
    <w:p>
      <w:r>
        <w:rPr>
          <w:b/>
        </w:rPr>
        <w:t>E. 7.3.2</w:t>
      </w:r>
    </w:p>
    <w:p>
      <w:r>
        <w:t>Die Vorinstanz hat in der angefochtenen Verfügung ausführlich dargelegt, weshalb bezüglich des Beschwerdeführers die Voraussetzungen für die Annahme der Zumutbarkeit im Hinblick auf eine Rückkehr nach Kabul erfüllt sind. Dagegen wendet der Beschwerdeführer ein, die Vorinstanz habe nicht berücksichtigt, dass seine Familie im Iran lebe und seine in Kabul lebenden Onkel zwischenzeitlich aus Afghanistan ausgereist beziehungsweise gestorben seien. Wie bereits vorstehend ausgeführt, trifft der erste Einwand nicht zu. Aufgrund der nicht glaubhaften Aussagen bezweifelt die Vorinstanz, wie nun auch das Gericht, dass sich die Familie des Beschwerdeführers tatsächlich im Iran aufhält. Was die beiden Onkel anbelangt, so substantiiert der Beschwerdeführer diesen auf Beschwerdeebene erstmals vorgebrachten Einwand nicht ansatzweise, mithin sind diese Vorbringen als nachträgliche Sachverhaltsanpassung und damit als nicht glaubhaft zu werten. Vor diesem Hintergrund ist davon auszugehen, dass sich die beiden Onkel weiterhin in Kabul aufhalten und auch ihrerseits über weitere Verwandte und Bekannte dort verfügen, welche den Beschwerdeführer zumindest zunächst bei sich aufnehmen und ihn bei der Reintegration unterstützen können. Weiter hat der Beschwerdeführer das in Aussicht gestellte Arztzeugnis, welches seine angeführten psychischen Probleme belegen sollte nicht eingereicht. Bei dieser Sachlage ist anzunehmen, dass der Beschwerdeführer physisch wie psychisch gesund ist. Schliesslich verfügt er gemäss seinen Angaben über mehrjährige Berufserfahrungen (...). Vor diesem Hintergrund sollte der Beschwerdeführer in der Lage sein, sich bei einer Rückkehr nach Kabul eine neue wirtschaftliche Existenz aufzubauen. Insgesamt ergeben sich somit keine Anhaltspunkte auf individuelle, in der Person des Beschwerdeführers liegende Vollzugshindernisse wirtschaftlicher, sozialer oder gesundheitlicher Natur. Der Vollzug der Wegweisung ist zumutbar.</w:t>
      </w:r>
    </w:p>
    <w:p>
      <w:r>
        <w:rPr>
          <w:b/>
        </w:rPr>
        <w:t>E. 7.4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7.5</w:t>
      </w:r>
    </w:p>
    <w:p>
      <w:r>
        <w:t>Zusammenfassend hat die Vorinstanz den Wegweisungsvollzug zu Recht als zulässig, zumutbar und möglich bezeichnet. Eine Anordnung der vorläufigen Aufnahme fällt somit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Rechtspflege gemäss Art. 65 Abs. 1 und Abs. 2 VwVG. Aufgrund der vorstehenden Erwägungen ergibt sich, dass seine Begehren als aussichtslos zu gelten haben. Damit ist eine der kumulativ zu erfüllenden Voraussetzungen nicht gegeben, weshalb den Gesuchen um Gewährung der unentgeltlichen Prozessführung sowie unentgeltliche Verbeiständung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