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E-5012/2006 vom 20. September 2011</w:t>
      </w:r>
    </w:p>
    <w:p>
      <w:r>
        <w:t>Bundesverwaltungsgericht, 2011-09-20, DE</w:t>
      </w:r>
    </w:p>
    <w:p>
      <w:r>
        <w:rPr>
          <w:b/>
        </w:rPr>
        <w:t xml:space="preserve">Quelle: </w:t>
      </w:r>
      <w:r>
        <w:t>https://mcp.opencaselaw.ch/entscheid/bvger_E-5012_2006</w:t>
      </w:r>
    </w:p>
    <w:p>
      <w:r>
        <w:t>FR: TAF E-5012/2006 du 20 septembre 2011</w:t>
      </w:r>
    </w:p>
    <w:p>
      <w:r>
        <w:t>IT: TAF E-5012/2006 del 20 settembre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Art. 50 und Art. 52 VwVG). Auf die Beschwerde ist einzutreten.</w:t>
      </w:r>
    </w:p>
    <w:p>
      <w:r>
        <w:rPr>
          <w:b/>
        </w:rPr>
        <w:t>E. 1.4</w:t>
      </w:r>
    </w:p>
    <w:p>
      <w:r>
        <w:t>Der Beschwerdeführer war im Zeitpunkt der Beschwerdeeinreichung durch C._______ vertreten, welcher sich als cand. iur. bezeichnete und als Postadresse das Advokaturbüro D._______, (...), nannte. Seit der Beschwerdeeinreichung (3. November 2006) ist C._______ im vorliegenden Verfahren nicht mehr gegenüber dem Bundesverwaltungsgericht als Rechtsvertreter in Erscheinung getreten. Die letzte Eingabe von Seiten des Beschwerdeführers stammt von diesem selbst (Eingabe vom 1. Februar 2007). Dass C._______ auch nach seiner Verurteilung durch die Staatsanwaltschaft des Kantons E._______ im (...) wegen (...) bei einem (...) Rechtsanwalt als juristischer Mitarbeiter beschäftigt ist, ist unwahrscheinlich; seine Privatadresse ist über die elektronischen Verzeichnisse der Schweizer Post nicht in Erfahrung zu bringen. Vor diesem Hintergrund ist davon auszugehen, dass der Beschwerdeführer heute nicht mehr vertreten ist oder jedenfalls über seinen Rechtsvertreter nicht kontaktiert werden kann, weshalb das Gericht seine Mitteilungen an den Beschwerdeführer selbst richtet.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Gegenstand des vorliegenden Beschwerdeverfahrens bildet nur die Frage, ob das BFM in seiner Verfügung vom 2. November 2006 den Vollzug der Wegweisung zu Recht als zulässig, zumutbar und möglich erachtet hat. Wie in der Zwischenverfügung der ARK vom 10. November 2006 ausgeführt, hat jene nämlich in ihrem Urteil vom 22. Februar 2006 rechtskräftig das Fehlen der Flüchtlingseigenschaft festgestellt, die Asylgewährung verweigert und die Anordnung der Wegweisung bestätigt.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und Art. 83 Abs. 1 des Bundesgesetzes vom 16. Dezember 2005 über die Ausländerinnen und Ausländer [AuG,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5</w:t>
      </w:r>
    </w:p>
    <w:p>
      <w:r>
        <w:t>Der Vollzug ist nicht zulässig, wenn völkerrechtliche Verpflichtungen der Schweiz einer Weiterreise der Ausländerin oder des Ausländers in den Heimat-, Herkunfts- oder einen Drittstaat entgegenstehen (Art. 83 Abs. 3 AuG).</w:t>
      </w:r>
    </w:p>
    <w:p>
      <w:r>
        <w:rPr>
          <w:b/>
        </w:rPr>
        <w:t>E. 5.1</w:t>
      </w:r>
    </w:p>
    <w:p>
      <w:r>
        <w:t>Gemäss Art. 5 Abs. 1 AsylG (vgl. auch Art. 33 Abs. 1 des Abkommens vom 28. Juli 1951 über die Rechtsstellung der Flüchtlinge [FK, SR 0.142.30]) darf keine Person in irgendeiner Form zur Ausreise in ein Land gezwungen werden, in dem ihr Leib, ihr Leben oder ihre Freiheit aus einem Grund nach Art. 3 Abs. 1 AsylG gefährdet ist oder in dem sie Gefahr läuft, zur Ausreise in ein solches Land gezwungen zu werden. Die Vorinstanz wies in ihrer angefochtenen Verfügung zutreffenderweise darauf hin, dass das Prinzip des flüchtlingsrechtlichen Non-Refoulement nur Personen schützt, die die Flüchtlingseigenschaft erfüllen. Nachdem rechtskräftig festgestellt worden ist, dass die Anerkennung des Beschwerdeführers als Flüchtling an einem konventionsrechtlichen Ausschlussgrund (Art. 1 F Bst. b FK) scheitert, findet der in Art. 5 AsylG verankerte Grundsatz der Nichtrückschiebung im vorliegenden Verfahren keine Anwendung.</w:t>
      </w:r>
    </w:p>
    <w:p>
      <w:r>
        <w:rPr>
          <w:b/>
        </w:rPr>
        <w:t>E. 5.2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Art. 3 der Konvention vom 4. November 1950 zum Schutze der Menschenrechte und Grundfreiheiten (EMRK, SR 0.101) darf niemand der Folter oder unmenschlicher oder erniedrigender Strafe oder Behandlung unterworfen werden.</w:t>
      </w:r>
    </w:p>
    <w:p>
      <w:r>
        <w:rPr>
          <w:b/>
        </w:rPr>
        <w:t>E. 5.2.1</w:t>
      </w:r>
    </w:p>
    <w:p>
      <w:r>
        <w:t>Gemäss Praxis des Europäischen Gerichtshofes für Menschenrechte (EGMR) zu Art. 3 EMRK muss die betroffene Person eine konkrete Gefahr ("real risk") nachweisen oder glaubhaft machen, dass ihr im Fall einer Rückschiebung eine von dieser Bestimmung verbotene Massnahme mit erheblicher Wahrscheinlichkeit droht. Dabei sind die allgemeine Situation im betreffenden Staat einerseits und die persönlichen Umstände der betroffenen Person andererseits massgebliche Kriterien (vgl. EGMR [Grosse Kammer] Saadi gegen Italien, Urteil vom 28. Februar 2008, Beschwerde Nr. 37201/06, § 130, mit weiterem Hinweis).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Im Zusammenhang mit der Ausweisung bzw. Rückschiebung einer ausländischen Person bedeutet dies, dass auf eine solche - unabhängig vom Verhalten dieser Person, wie unerwünscht und gefährlich dieses auch sein mag - zu verzichten ist, wenn sie eine konkrete Gefahr einer nach diesen Bestimmungen verbotenen Massnahme schlüssig dartun kann. Im Zusammenhang mit dem Terrorismus hat der EGMR immer wieder festgehalten, sich der grossen Schwierigkeiten bewusst zu sein, mit denen Staaten sich heute konfrontiert sähen, wollten sie ihre Gesellschaft vor solcher Gewalt schützen. Gleichzeitig betonte er auch vor diesem Hintergrund regelmässig den absoluten Charakter des Folterverbots. Eine Abwägung zwischen dem drohenden Risiko einer nach Art. 3 EMRK verbotenen Behandlung oder Strafe und den Gründen, die zur Aus- oder Rückweisung geführt haben, schloss er wiederholt kategorisch aus (vgl. EGMR, Daoudi gegen Frankreich, Urteil vom 3. März 2010, Beschwerde Nr. 1957/08 [in der Folge: "Fall Daoudi"], § 64; Saadi gegen Italien, Urteil vom 28. Februar 2008, Beschwerde Nr. 37201/06, §§ 124 - 127, mit weiteren Hinweisen; Chahal gegen Grossbritannien, Urteil vom 15. November 1996, Beschwerde Nr. 22414/93, §§ 79 - 80). Was die Situation in Algerien anbelangt, ist Folgendes festzuhalten: Nachdem sich abzeichnete, dass die Islamistische Heilsfront (Front islamique du salut, FIS) bei den Parlamentswahlen 1991/92 die Mehrheit erringen wird, wurden die Wahlen abgebrochen; der damalige Präsident Bendjedid trat unter dem Druck des Militärs zurück. Dieses setzte in der Folge verschiedene Übergangspräsidenten ein. Im März 1992 erfolgte die Anordnung zur Auflösung der FIS, die daraufhin zum bewaffneten Kampf aufrief. Zwischen 100 000 und 200 000 Menschen sind in den 1990-er Jahren in Algerien dem blutigen Konflikt zwischen radikalen Islamisten und Sicherheitskräften zum Opfer gefallen. Mit dem Amtsantritt von Präsident Abdelaziz Bouteflika 1999 und seiner im selben Jahr verabschiedeten ersten Amnestie hat Algerien in den Folgejahren langsam zu politischer und - speziell infolge des weltweiten Anstiegs des Ölpreises - wirtschaftlicher Stabilität gefunden (vgl. dazu Entscheidungen und Mitteilungen der Schweizerischen Asylrekurskommission [EMARK] 2005 Nr. 13). Im Herbst 2005 liess Präsident Bouteflika über den Grundsatz einer seitens des Regimes eingeleiteten "nationalen Aussöhnung" abstimmen, im Frühjahr 2006 trat die sogenannte "Charta für Frieden und Nationale Versöhnung" in Kraft, die unter anderem finanzielle Entschädigungen für die Opfer des Konfliktes vorsieht. Dieses Dekret wird aus verschiedenen Gründen kritisiert, vorab weil der eigentliche Zweck darin liege, einen Mantel des Schweigens über die während des Bürgerkrieges begangenen Verbrechen zu legen; so sehe es nicht nur Straffreiheit für Mitglieder bewaffneter Gruppen, die sich weitverbreiteter Menschenrechtsverletzungen schuldig gemacht hätten vor, sondern leugne ausserdem jede Verantwortung der Geheimdienste, Sicherheitskräfte und vom Staat bewaffneten Milizen für schwere Menschenrechtsverletzungen und garantiere ihnen Straffreiheit. Der UN-Ausschuss gegen Folter verweist ausserdem auf die insgesamt intransparente Umsetzung der Charta. Im Speziellen sei auch nicht klar, wer überhaupt in den Genuss der Amnestie komme und wie eine Wiedereingliederung ehemaliger Islamisten konkret aussehe. Ab 2006 stieg die Zahl von bei politisch motivierten Gewaltakten getöteten Zivilpersonen in Algerien wieder an. Eine grosse Anzahl davon geht auf Bombenanschläge zurück, zu denen sich militante islamistische Bewegungen, insbesondere die Gruppe Al-Qaida im islamistischen Maghreb, bekannten. Nach wie vor prägt der Konflikt mit den bewaffneten Islamisten das öffentliche Leben in Algerien wesentlich (vgl. Home Office, UK Border Agency, Country of Origin Information (COI) Report, 14. März 2011; Amnesty International [AI] Länderbericht Algerien, November 2010; Freedom House, Freedom in the World - Algeria 2009 und 2010; Sigrid Faath, Reziprokes Misstrauen: Zum Verhältnis von Staat, Bevölkerung und Opposition in Algerien, Hamburg GIGA, 2008; Konrad-Adenauer-Stiftung e.V., Thomas Schiller, Algeriens schwieriger Weg in die Normalität, 15. Juli 2008; AG Friedensforschung an der Uni Kassel, Salima Mellah, Algerien: Eine Lüge namens "Versöhnung", Algeria Watch, Winter 2006). Die Menschenrechtslage in Algerien gibt laut übereinstimmenden Berichten staatlicher und nichtstaatlicher Körperschaften und internationaler Organisationen bis heute zu Besorgnis Anlass. Angeprangert werden insbesondere eine unzulässig lange Dauer der Untersuchungshaft, schlechte Haftbedingungen, Folter im Polizeigewahrsam, der Mangel an juristischer Unabhängigkeit sowie die weitverbreitete Korruption und fehlende Transparenz. Eine zentrale Rolle im Zusammenhang mit solchen Vorwürfen kommt dem militärischen Geheimdienst DRS (Département de renseignement et sécurité) zu. Er ist zuständig für die innere Sicherheit und nimmt, insbesondere im Zusammenhang mit Terrorfällen, Polizeifunktionen wahr. Wie bereits in den 1990-er Jahren werden dem DRS, der offenbar ausserhalb jeder Justizkontrolle agiert, unvermindert schwere Menschenrechtsverletzungen vorgeworfen. Auch heute würden Personen, die der Unterstützung des Terrorismus verdächtigt werden, regelmässig vom DRS in geheime Haftzentren gebracht, dort ohne Kontakt zur Aussenwelt, in manchen Fällen monatelang, festgehalten, wobei sie erheblichem Folterrisiko ausgesetzt seien. Nach wie vor dringen, abgesehen vom Gesagten, kaum Informationen betreffend Aufgaben, Grösse oder interne Machverhältnisse und politischem Einfluss des DRS an die Öffentlichkeit. Der EGMR hielt im Fall Daoudi, § 68 (vgl. a.a.O.) bezüglich der Praktiken, die der DRS anwende, um Geständnisse und nützlichen Informationen zu erhalten fest, sie erreichten zweifellos die hohe Schwelle von Art. 3 EMRK - insbesondere dann, wenn die betroffene Person verdächtigt werde, Verbindungen zum internationalen Terrorismus zu haben, was zudem nicht einmal seitens der algerischen Regierung bestritten werde, die einzig die systematische Folter verneine (vgl. u.a. US Department of State, 2010 Human Rights Report vom 8. April 2011, mit Hinweisen; UK Border Agency, Algeria COI-Report, a.a.O.; Human Rights Watch, World Report 2011: Algeria; AI Länderbericht Algerien, a.a.O.). In Folge der seit Ende 2010 anhaltenden Proteste in Algerien, die sich vorab an den stark gestiegenen Preisen für Grundnahrungsmitteln entzündet hatten und denen zunächst mit massivem Polizeiaufgebot gewaltsam entgegengetreten wurde, hob das Regime im Februar des laufenden Jahres schliesslich den seit 1992 geltenden Ausnahmezustand auf. Angesichts der zunehmenden sozialen Spannungen kündete Bouteflika im Frühjahr auch weitere politische Reformen an, höchste Priorität habe die Bekämpfung der hohen Jugendarbeitslosigkeit und der Wohnungsnot (vgl. Hanns Seidel Stiftung, Institut für Internationale Zusammenarbeit, Quartalsbericht Mahgreb, 1/2011). Zurzeit ist die weitere Entwicklung in Algerien - was für alle von den Umbrüchen im arabischen Raum betroffenen Staaten gilt - schwer voraussehbar. Momentan kann aber nicht davon ausgegangen werden, dass diese Massnahmen auf das Vorgehen der Sicherheitskräfte im Allgemeinen und auf jene des DRS im Besonderen, einen entscheidenden Einfluss hätten (vgl. UK Border Agency, Algeria COI-Report, a.a.O., Latest News, S. 8 f.; US Department of State, 2010 Human Rights Report, a.a.O.; Frankfurter Allgemeine [FAZ.NET], Die Zivilgesellschaft ist am Ende, 4. März 2011, abgerufen am 7. Juli 2011).</w:t>
      </w:r>
    </w:p>
    <w:p>
      <w:r>
        <w:rPr>
          <w:b/>
        </w:rPr>
        <w:t>E. 5.2.2</w:t>
      </w:r>
    </w:p>
    <w:p>
      <w:r>
        <w:t>Im vorliegenden Fall erkennt das BFM keinerlei Risiko, dass der Beschwerdeführer im Falle seiner Rückkehr nach Algerien mit grosser Wahrscheinlichkeit von Massnahmen betroffen sein könnte, die von Art. 3 EMRK erfasst seien. Zu diesem Schluss kommt es vorab gestützt auf die Ergebnisse seiner Botschaftsabklärung, die ergeben habe, dass der Beschwerdeführer im zentralen Register der gesuchten Personen nicht aufgeführt sei, was bedeute, dass gegen ihn kein Urteil vorliege und er von den algerischen Behörden nicht gesucht werde. Dieser Betrachtungsweise und Einschätzung ist entgegenzuhalten, dass der Beschwerdeführer zweifellos damit rechnen muss, dass die algerischen Behörden über seine Verurteilung in Frankreich im Bilde sind - unabhängig davon, ob die französischen Behörden bereits im Rahmen des Strafverfahrens in Frankreich ihre algerischen Kollegen informiert hatten, wie der Beschwerdeführer moniert. Spätestens bei seiner Einreise müsste der Beschwerdeführer, nur schon aufgrund seiner inzwischen rund achtzehnjähriger Landesabwesenheit, mit einer genauen Überprüfung rechnen. Bei dieser Abklärung käme mit an Sicherheit grenzender Wahrscheinlichkeit seine Verurteilung in Frankreich zu einer vierjährigen Haftstrafe, unter anderem wegen Zugehörigkeit zu einer im Hinblick auf die Begehung eines terroristischen Aktes entstandenen kriminellen Vereinigung, sowie die Tatsache der Asylgesuchstellung in der Schweiz ans Licht. Dass der Beschwerdeführer damit bei den algerischen Behörden den Verdacht wecken würde, er unterhalte Verbindungen zum internationalen Terrorismus, liegt auf der Hand. Dementsprechend hoch ist nach dem unter E. 5.2.2. Gesagten die Wahrscheinlichkeit, dass in einem solchen Moment der DRS ins Spiel käme und den Beschwerdeführer in ein geheimes Haftzentrum überführen, dort während 12 oder mehr Tagen festhalten und befragen würde. Dabei wäre vor dem Hintergrund der aus den zitierten Berichten gewonnenen Erkenntnisse das Risiko, dass er nebst prekären Haftbedingungen auch der Folter ausgesetzt wäre, beträchtlich. In dieser Phase dürfte er nicht die geringste Möglichkeit haben, sich an die Aussenwelt zu richten beziehungsweise sich juristisch zu wehren und namentlich die Anwendung der Amnestiebestimmungen für sich geltend zu machen. Im Fall Daoudi (a.a.O.) hielt der Gerichtshof fest, dass keine Anzeichen dafür vorhanden seien, dass die vom DRS gehandhabten Praktiken aufgehört hätten oder auch nur zurückgegangen wären, sobald es um Personen gehe, die terroristischer Aktivitäten verdächtigt würden. Das pauschale Argument des BFM, der Beschwerdeführer werde automatisch von der "Charta für Frieden und Nationale Versöhnung" profitieren, vermag angesichts der offenbar undurchsichtigen Umsetzung des Dekrets, der umschriebenen Willkür des DRS und der zu erwartenden "Dunkelkammer-Situation" des Beschwerdeführers unmittelbar nach einer erfolgten Einreise das Risiko nicht zu mindern. Offen bleiben kann deswegen letztlich, ob der Beschwerdeführer überhaupt grundsätzlich von den Bestimmungen des Dekrets erfasst würde, woran durchaus Zweifel bestehen. Weshalb er nachgerade "automatisch" davon profitieren sollte, begründet das BFM nicht. Der Umstand, dass im Rahmen dieser Charta zahlreiche verurteilte Islamisten freigelassen oder sogar aus dem Ausland zurückgekehrt seien, ändert an der Einschätzung des Risikos im vorliegenden Falle nichts. Was die aus dem Gefangenenlager Guantanamo zurückgekehrten Häftlinge algerischer Staatsangehörigkeit betrifft, so hält das US Department of State (2010 Human Rights Report, a.a.O.) zwar fest, sie seien nach der für des Terrorismus verdächtigte Personen legalen 12-tägigen Haft ohne Aussenkontakt freigelassen worden, wobei sie seither gehalten seien, sich einmal wöchentlich bei der Polizei zu melden. Mehrere solche Häftlinge hätten angegeben, sie seien während dieser zwölf Tage fair behandelt worden. Angesichts des grossen Interesses der Weltöffentlichkeit vermag aber auch dieser Bericht nichts an der vorgenommenen Einschätzung des Risikos im vorliegenden Fall zu bewirken, zumal Amnesty International und andere Menschenrechtsorganisationen die Befürchtung hegen, es komme während dieser zwölf Tage sehr wohl zu Folter und dafür auch andere Beispiele von aus Guantanamo zurückgekehrten Häftlingen nennen (AI, Algerien: Jahresbericht 2008, 28. Mai 2009). Schliesslich vermag auch das Argument des BFM, Algerien wende den Grundsatz des "ne bis in idem" an, nicht zu überzeugen, zumal es sich bei der Zugehörigkeit zu einer terroristischen Vereinigung um ein Dauerdelikt handelt und der DRS weiterhin ein ausgeprägtes Interesse an Personen zeigt, die er verdächtigt, Verbindungen zum internationalen Terrorismus zu haben, um über sie Informationen zum Terrorismus und seinen Hintermännern zu erhalten (vgl. Fall Daoudi, a.a.O., § 70).</w:t>
      </w:r>
    </w:p>
    <w:p>
      <w:r>
        <w:rPr>
          <w:b/>
        </w:rPr>
        <w:t>E. 5.2.3</w:t>
      </w:r>
    </w:p>
    <w:p>
      <w:r>
        <w:t>Zusammenfassend ist angesichts der umschriebenen Menschenrechtslage in Algerien, insbesondere im Zusammenhang mit Personen, die des Kontakts mit Personen und Organisationen des internationalen Terrorismus verdächtigt werden, und den Umständen im vorliegenden Fall davon auszugehen, dass der Beschwerdeführer bei einem Vollzug der Wegweisung nach Algerien mit der geforderten erheblichen Wahrscheinlichkeit eine unmenschliche oder erniedrigende Behandlung oder Strafe oder Folter im Sinne der einschlägigen Bestimmungen zu gewärtigen hätte. Entsprechend dem absoluten Charakter der Bestimmung von Art. 3 EMRK (vgl. E. 5.2.1) ist weder das Verhalten des Beschwerdeführers im Zusammenhang mit seiner Straftat, das unter keinen Umständen zu verharmlosen, sondern vielmehr in Anerkennung der rechtsstaatlichen und korrekten Prozessführung und Verurteilung durch die Justizorgane Frankreichs streng zu verurteilen ist, und eine allfällige weiterhin vom Beschwerdeführer ausgehende Gefährdung für die innere oder äussere Sicherheit der Schweiz diesem "real risk" im Sinne einer Interessensabwägung gegenüberzustellen, noch wäre umgekehrt sein geltend gemachtes Wohlverhalten seit seinem Aufenthalt in der Schweiz zu seinen Gunsten mitzuberücksichtigen. Demzufolge erweist sich der Vollzug der Wegweisung als unzulässig. Der Beschwerdeführer ist vorläufig in der Schweiz aufzunehmen. Die Beschwerde ist gutzuheissen.</w:t>
      </w:r>
    </w:p>
    <w:p>
      <w:r>
        <w:rPr>
          <w:b/>
        </w:rPr>
        <w:t>E. 6</w:t>
      </w:r>
    </w:p>
    <w:p>
      <w:r>
        <w:t>Bei diesem Ausgang des Verfahrens sind keine Verfahrenskosten zu erheben (Art. 63 Abs. 1 VwVG). Die Behandlung des Gesuches auf Gewährung der unentgeltlichen Prozessführung erübrigt sich.</w:t>
      </w:r>
    </w:p>
    <w:p>
      <w:r>
        <w:rPr>
          <w:b/>
        </w:rPr>
        <w:t>E. 7</w:t>
      </w:r>
    </w:p>
    <w:p>
      <w:r>
        <w:t>Der obsiegenden Partei ist für die ihr erwachsenen notwendigen Kosten von Amtes wegen oder auf Begehren eine Parteientschädigung auszurichten (Art. 7 Abs. 1 des Reglements vom 21. Februar 2008 über die Kosten und Entschädigungen vor dem Bundesverwaltungsgericht [VGKE], SR 173.320.2). Mangels Einreichung einer Kostennote ist die Entschädigung aufgrund der Akten festzusetzen. Der von einem juristische Laien geleistete Vertretungsaufwand im Zusammenhang mit der Einreichung der Beschwerde wird in zeitlicher Hinsicht auf zwei Stunden geschätzt, womit in Anwendung von Art. 10 Abs. 2 VGKE und unter Anwendung des minimalen Stundenansatzes eine Parteientschädigung von Fr. 200.- festzulegen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