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E-5004/2013 vom 24. Juni 2014</w:t>
      </w:r>
    </w:p>
    <w:p>
      <w:r>
        <w:t>Bundesverwaltungsgericht, 2014-06-24, DE</w:t>
      </w:r>
    </w:p>
    <w:p>
      <w:r>
        <w:rPr>
          <w:b/>
        </w:rPr>
        <w:t xml:space="preserve">Quelle: </w:t>
      </w:r>
      <w:r>
        <w:t>https://mcp.opencaselaw.ch/entscheid/bvger_E-5004_2013</w:t>
      </w:r>
    </w:p>
    <w:p>
      <w:r>
        <w:t>FR: TAF E-5004/2013 du 24 juin 2014</w:t>
      </w:r>
    </w:p>
    <w:p>
      <w:r>
        <w:t>IT: TAF E-5004/2013 del 24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Der während des Beschwerdeverfahrens geborene Sohn wird in das Verfahren seiner Mutter eingeschlossen.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Vorweg sind die Rügen der unvollständigen Sachverhaltsfeststellung und der Verletzung des rechtlichen Gehörs zu prüfen. Wie nachfolgend aufgezeigt, erweisen sich beide Rügen als unbegründet. Denn, wie in Erwägung 6 dargelegt, ist der Sachverhalt vollständig erstellt, insbesondere unter Berücksichtigung des Umstands, dass es nicht Aufgabe des Bundesamts ist, nach allfälligen Vollzugshindernissen zu forschen, wenn die Beschwerdeführerin unter Verletzung ihrer Mitwirkungspflicht ihre Identität und Herkunft verschleiert. Der Anspruch auf rechtliches Gehör ist ebenso wenig verletzt. Das BFM hat zu Recht aus berechtigten Geheimhaltungsinteressen die Einsicht in das Gutachten verweigert, zumal das BFM der Beschwerdeführerin die Gelegenheit eingeräumt hat, sich die Aufzeichnung des Interviews anzuhören und sich davon Notizen zu machen, wovon sie Gebrauch gemacht hat (vgl. BGE 115 V 297, E. 2g/aa S. 303). Der LINGUA-Bericht wird vom Gericht berücksichtigt. Für einen Beizug der Aufzeichnung des Interviews der Beschwerdeführerin durch das Gericht besteht dagegen kein Anlass, zumal es zwischen der mit der Replik eingereichten Niederschrift der Beschwerdeführerin und den Angaben im Gutachten in den wesentlichen Punkten keine Differenz gibt. Auffällig dabei ist, dass die Niederschrift zu den im Gutachten als wesentlich aufgeführten Punkten nichts enthält. Eine offene Divergenz bei den Angaben, was die Beschwerdeführerin im Interview mit der LINGUA-Expertin ausgesagt haben soll, besteht einzig bei der Frage, ob sich in der Gemeinde ein Spital befindet. Dieser Punkt ist aber einerseits nicht ausschlaggebend und andererseits sind die Angaben in der Niederschrift der Beschwerdeführerin so summarisch und selektiv, dass sie wenig aussagekräftig sind.</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oder den allgemeinen Erfahrungen nicht entsprechen oder massgeblich auf gefälschte oder verfälschte Beweismittel abgestützt werden (Art. 7 AsylG).</w:t>
      </w:r>
    </w:p>
    <w:p>
      <w:r>
        <w:rPr>
          <w:b/>
        </w:rPr>
        <w:t>E. 6</w:t>
      </w:r>
    </w:p>
    <w:p>
      <w:r>
        <w:t>Der Vorinstanz ist darin zuzustimmen, dass die Asylvorbringen der Beschwerdeführerin auf Grund von Widersprüchen in zentralen Punkten sowie weiteren Unstimmigkeiten den Anforderungen von Art. 7 AsylG an das Glaubhaftmachen nicht standhalten. Der Vortrag der Beschwerdeführerin ist nämlich widersprüchlich und erscheint realitätsfremd, wobei die auf Beschwerdeebene angebotenen Erklärungen bei einer Gesamtwürdigung nicht zu überzeugen vermögen, insbesondere weil ihren Vorbringen mit dem LINGUA-Gutachten die Grundlage entzogen worden ist, wobei dadurch auch ihre persönliche Glaubwürdigkeit untergraben worden ist. Das Gutachten ist schlüssig und nachvollziehbar. Die auf Beschwerdeebene erhobenen Einwände und Entgegnungen sind nicht stichhaltig, wobei auffällt, dass die Beschwerdeführerin für das sehr schwerwiegende Indiz für eine Sozialisation ausserhalb des Tibets, nämlich dass sie Tibetern geläufige chinesische Lehnwörter nicht kennt, keine plausible Erklärung anbietet. Unter diesen Umständen kann ihre geltend gemachte Ausreise (ob legal oder illegal) aus China als solche nicht geglaubt werden. Demzufolge ist, wie das BFM zu Recht festgestellt und zutreffend begründet hat, sowohl das Vorliegen von Vorfluchtgründen als auch von subjektiven Nachfluchtgründen im Sinne von Art 54 AsylG zu verneinen, zumal durch die Verheimlichung und Verschleierung der wahren Herkunft auch die Prüfung der Flüchtlingseigenschaft der Beschwerdeführerin in Bezug auf ihr effektives Heimat- oder Herkunftsland verunmöglicht wird (vgl. dazu das Urteil des BVGer E 2981/2012 vom 20. Mai 2014 E. 5.9). Das BFM hat nach dem Gesagten die Flüchtlingseigenschaft zu Recht verneint.</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und das BFM den Vollzug in die Volksrepublik China ausdrücklich ausgeschlossen hat, kann der in Art. 5 AsylG verankerte Grundsatz der Nichtrückschiebung im vorliegenden Verfahren keine Anwendung finden. Eine Rückkehr der Beschwerdeführenden in den wahren Heimat- oder Herkunftsstaat ist demnach unter dem Aspekt von Art. 5 AsylG rechtmässig. Sodann ergeben sich weder aus den Aussagen der Beschwerdeführerin noch aus den Akten Anhaltspunkte dafür, dass die Beschwerdeführenden für den Fall einer Ausschaffung in den Heimat- oder Herkunftsstaat dort mit beachtlicher Wahrscheinlichkeit einer nach Art. 3 EMRK oder Art. 1 FoK verbotenen Strafe oder Behandlung ausgesetzt wäre, zumal die Beschwerdeführerin, wie die Vorinstanz zu Recht ausgeführt hat, die Folgen ihrer unglaubhaften Identitätsangabe und der Unglaubhaftigkeit ihres Sachverhaltsvortrags zu tragen hat, indem vermutungsweise davon auszugehen ist, einer Wegweisung in ihren tatsächlichen Heimat- oder Herkunftsstaat stünden keine völkerrechtlichen Vollzugshindernisse entgegen (vgl. dazu das Urteil des BVGer E 2981/2012 vom 20. Mai 2014 E. 6). Folglich ist entgegen der Replik insbesondere auch keine Botschaftsanfrage zur Abklärung des Vorliegens einer allfälligen indischen oder nepalesischen Staatsangehörigkeit einzuleiten.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Vorliegend bestehen keine individuellen Unzumutbarkeitsgründe. Insbesondere lässt sich auch aus dem Kindeswohl kein Vollzugshindernis ableiten, zumal das Kind neugeboren ist. Was die allgemeine Lage im Heimat- oder Herkunftsstaat der Beschwerdeführenden betrifft, so gilt, was in Erwägung 7.3 ausgeführt wurde, entsprechend.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Rechtspflege wird gemäss Art. 65 Abs. 1 VwVG gutgeheissen, da sich die Beschwerde zum Zeitpunkt ihrer Einreichung nicht als aussichtslos erwiesen hat und aufgrund der Akten von der prozessualen Bedürftigkeit der Beschwerdeführerin auszugehen ist.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