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E-4998/2023 vom 23. Oktober 2023</w:t>
      </w:r>
    </w:p>
    <w:p>
      <w:r>
        <w:t>Bundesverwaltungsgericht, 2023-10-23, DE</w:t>
      </w:r>
    </w:p>
    <w:p>
      <w:r>
        <w:rPr>
          <w:b/>
        </w:rPr>
        <w:t xml:space="preserve">Quelle: </w:t>
      </w:r>
      <w:r>
        <w:t>https://mcp.opencaselaw.ch/entscheid/bvger_E-4998_2023</w:t>
      </w:r>
    </w:p>
    <w:p>
      <w:r>
        <w:t>FR: TAF E-4998/2023 du 23 octobre 2023</w:t>
      </w:r>
    </w:p>
    <w:p>
      <w:r>
        <w:t>IT: TAF E-4998/2023 del 23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E-4998/2023 Seite 4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Beschwerdeführerin beantragt, es sei ihr ausdrücklich zu erlauben, das Verfahren in der Schweiz abzuwarten. Hierzu ist festzuhalten, dass ge- mäss Art. 55 Abs. 1 VwVG einer Beschwerde von Gesetzes wegen auf- schiebende Wirkung zukommt und die Beschwerdeführerin demzufolge das Beschwerdeverfahren in der Schweiz abwarten darf.</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t>E-4998/2023 Seite 5</w:t>
      </w:r>
    </w:p>
    <w:p>
      <w:r>
        <w:rPr>
          <w:b/>
        </w:rPr>
        <w:t>E. 5</w:t>
      </w:r>
    </w:p>
    <w:p>
      <w:r>
        <w:t>Das vorliegende Verfahren wird mit dem Verfahren der Pflegefamilie der Beschwerdeführerin (E-4995/2023, N […]) von Amtes wegen zeitlich koor- diniert und es werden die entsprechenden Akten beigezogen.</w:t>
      </w:r>
    </w:p>
    <w:p>
      <w:r>
        <w:rPr>
          <w:b/>
        </w:rPr>
        <w:t>E. 6</w:t>
      </w:r>
    </w:p>
    <w:p>
      <w:r>
        <w:t>Von einer Rückweisung der Sache zur Neubeurteilung ist abzusehen, zu- mal die Beschwerdeführerin ihren Rückweisungsantrag nicht begründet hat. Im Übrigen ergeben sich auch aus den Akten keinerlei Hinweise auf Verfahrensfehler. Das Kassationsbegehren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w:t>
      </w:r>
    </w:p>
    <w:p>
      <w:r>
        <w:t>E-4998/2023 Seite 6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m.w.H.).</w:t>
      </w:r>
    </w:p>
    <w:p>
      <w:r>
        <w:rPr>
          <w:b/>
        </w:rPr>
        <w:t>E. 8.1</w:t>
      </w:r>
    </w:p>
    <w:p>
      <w:r>
        <w:t>Zur Begründung führte die Vorinstanz in der angefochtenen Verfügung aus, der Beschwerdeführerin sei mehrfach die Gelegenheit eingeräumt worden, ihre Vorbringen frei zu schildern. Ihre Ausführungen zu den gel- tend gemachten Asylgründen seien insgesamt wenig substantiiert und wie- sen kaum Realkennzeichen auf. So habe sie die zwei Vorfälle, als sie be- lästigt und bedroht worden sei, nicht detailliert schildern können. Trotz zahl- reicher Nachfragen habe sie nicht substantiiert beschreiben können, wie die beiden Vorfälle konkret abgelaufen seien. Ihre Angaben blieben knapp, oberflächlich und enthielten kaum Realkennzeichen. Es erstaune zudem, dass sie von den konkreten Problemen ihres Pflegevaters nur äusserst knapp habe berichten können, obschon sie deswegen bedroht worden sei. Hinzu komme, dass sie zu wesentlichen Punkten unterschiedliche Anga- ben gemacht habe. Beispielsweise habe sie erklärt, die Person, die sie be- helligt habe, habe wissen wollen, wo sie genau lebe. Später habe sie hin- gegen erklärt, die Person habe bereits gewusst, wo sie wohne, und habe wissen wollen, um welche Uhrzeit ihr Pflegevater nach Hause komme. Auch habe sie unterschiedliche Angaben zum Zeitpunkt der Bedrohung ge- macht. So habe sie einerseits erklärt, sie sei ungefähr drei Wochen vor ihrer Ausreise bedroht worden, und andererseits, sie habe bei der ersten Bedrohung noch in B._______ gelebt. Da sie angegeben habe, sie habe bis im Jahr 2020 in B._______ gelebt, liege eine beträchtliche zeitliche Dis- krepanz vor. Auch die eingereichten Beweismittel vermöchten ihre Vorbrin- gen nicht glaubhaft zu machen, da es sich dabei um Identitätsdokumente sowie um ein Gerichtsdokument betreffend ihr Sorgerecht handle. Insge- samt seien ihre Ausführungen knapp und substanzarm ausgefallen und sie habe wesentliche Punkte unterschiedlich dargestellt. Entsprechend sei sie nicht in der Lage gewesen, den Eindruck zu vermitteln, sie habe die von ihr geltend gemachten Vorfälle tatsächlich erlebt. An dieser Einschätzung</w:t>
      </w:r>
    </w:p>
    <w:p>
      <w:r>
        <w:t>E-4998/2023 Seite 7 vermöge auch die Konsultation des Dossiers ihrer Pflegefamilie nichts zu ändern, zumal ihre Aussagen ebenfalls Unglaubhaftigkeitselemente ent- hielten.</w:t>
      </w:r>
    </w:p>
    <w:p>
      <w:r>
        <w:rPr>
          <w:b/>
        </w:rPr>
        <w:t>E. 8.2</w:t>
      </w:r>
    </w:p>
    <w:p>
      <w:r>
        <w:t>Die Beschwerdeführerin entgegnet in ihrer Beschwerde, ihre Ausfüh- rungen seien substantiiert ausgefallen. So habe sie sich zu den Behelli- gungen detailliert geäussert und ausgeführt, diese hätten sich auf ihrem Schulweg ereignet, die Personen hätten sie am Arm gepackt und nach ih- rem Vater gefragt, sie habe geschrien, um andere Leute zu warnen, und sei schliesslich losgelassen worden (unter Verweis auf SEM-act. 20/14 F76 ff. und 95 ff.). Hätte die Vorinstanz detaillierte Antworten haben wollen, hätte sie präzisere Fragen stellen müssen. Auch sei zu berücksichtigen, dass sie im Zeitpunkt der Ereignisse minderjährig gewesen oder gerade erst volljährig geworden sei. Zudem müsse berücksichtigt werden, dass die Anhörung für sie belastend und einschüchternd gewesen sei und dass da- her die Ausführungen nicht so detailliert gewesen seien, wie die Vorinstanz es gerne hätte. Auch habe sie offensichtlich ein anderes Verhältnis zu Zeit und Raum als ein durchschnittlicher Schweizer, was dazu geführt habe, dass sie nicht in der Lage gewesen sei, die Ereignisse einem bestimmten zeitlichen Rahmen zuzuordnen. Dass sie ferner nicht detailliert von den Tätigkeiten ihres Vaters habe erzählen können, liege daran, dass sich ihr Vater ihr nicht anvertraut habe. Sie fürchte sich davor, nach Burundi zu- rückzukehren, da sie in Gefahr laufen würde, wegen ihres Adoptivvaters verfolgt zu werden.</w:t>
      </w:r>
    </w:p>
    <w:p>
      <w:r>
        <w:rPr>
          <w:b/>
        </w:rPr>
        <w:t>E. 9.1</w:t>
      </w:r>
    </w:p>
    <w:p>
      <w:r>
        <w:t>Nach Prüfung der Akten kommt das Bundesverwaltungsgericht zum Schluss, dass die Vorinstanz die Vorbringen der Beschwerdeführerin zu Recht als unglaubhaft qualifiziert hat. Zur Vermeidung von Wiederholungen kann auf die angefochtene Verfügung verwiesen werden.</w:t>
      </w:r>
    </w:p>
    <w:p>
      <w:r>
        <w:rPr>
          <w:b/>
        </w:rPr>
        <w:t>E. 9.2</w:t>
      </w:r>
    </w:p>
    <w:p>
      <w:r>
        <w:t>Vorbemerkend ist festzuhalten, dass die Beschwerde ihrer Pflegefami- lie mit heutigem Urteil E-4995/2023 abgewiesen wurde, da die geltend ge- machte Verfolgung des Beschwerdeführers nicht glaubhaft gemacht wer- den konnte.</w:t>
      </w:r>
    </w:p>
    <w:p>
      <w:r>
        <w:rPr>
          <w:b/>
        </w:rPr>
        <w:t>E. 9.3</w:t>
      </w:r>
    </w:p>
    <w:p>
      <w:r>
        <w:t>Betreffend die Anhörung der Beschwerdeführerin fällt auf, dass sie ins- besondere die Gesuchsgründe sehr knapp und vage vorbrachte. So führte sie auf die Frage, wie oft sie belästigt worden sei, aus, es sei ungefähr zweimal passiert (vgl. SEM-act. 20/14 F79). Auf die Anschlussfrage, wann bezogen auf die Ausreise sie behelligt worden sei, brachte sie vor, es sei</w:t>
      </w:r>
    </w:p>
    <w:p>
      <w:r>
        <w:t>E-4998/2023 Seite 8 zu jener Zeit gewesen, bevor sie Burundi verlassen hätten. Ihr Vater habe Probleme bei der Arbeit gehabt und dann sei auch sie bedroht worden (vgl. SEM-act. 20/14 F80). Auf die Frage, wann sie belästigt oder bedroht wor- den sei, machte sie geltend, sie erinnere sich nicht an den genauen Tag (vgl. SEM-act. 20/14 F81). Auf nochmalige Frage betreffend Zeitpunkt der Behelligungen antwortete sie, es sei zu der Zeit gewesen, als sie noch nicht geplant hätten auszureisen (vgl. SEM-act. 20/14 F82). Im Verlaufe der An- hörung definierte sie die erste Behelligung mit drei Wochen vor der Aus- reise und die zweite mit ein paar Tage danach (vgl. SEM-act. 20/14 F83). Auch auf die Fragen, wie sie belästigt worden sei, führte sie nur vage aus, es sei eine Person auf sie zugegangen und habe sie am Arm gepackt. Diese habe ihr gesagt, sie solle nicht weitergehen bis sie ihre Fragen be- antwortet habe. Dann habe die Person nach ihrem Vater gefragt. An- schliessend sei sie über einen Umweg nach Hause gegangen (vgl. SEM- act. 20/14 F96). Zur zweiten Behelligung erklärte sie, die Person sei auf sie zugekommen. Als diese sie wiederum mit Fragen konfrontiert habe, habe sie gewusst, dass es gefährlich sei zu antworten. Also habe sie zu schreien begonnen, worauf diese Person weggerannt sei (vgl. SEM-act. 20/14 F104). Weitere Fragen dazu vermochte sie jeweils ebenfalls nur kurz und nicht detailliert zu beantworten. Ein solches Aussageverhalten erstaunt, handelt es sich doch bei ihren Ausführungen um die zentralen Vorbringen, aufgrund derer sie mit ihrer Pflegefamilie das Land verlassen habe. Es wäre – auch unter Berücksichtigung der kulturellen Unterschiede und der in der Beschwerde geltend gemachten Hierarchie in Burundi respektive der damit verbundenen Angst, über das Erlebte zu berichten – trotzdem zu er- warten, dass sie ihre fluchtauslösenden Vorbringen ausführlicher darlegen könnte. Gesamthaft betrachtet hat die Beschwerdeführerin nicht vermocht, glaubhaft zu machen, dass sie das Vorgebrachte tatsächlich selber erlebt hat. Die Vorinstanz ist folglich zu Recht davon ausgegangen, dass die Vor- bringen der Beschwerdeführerin den Anforderungen an die Glaubhaftma- chung nicht standhalten. Das SEM hat ihre Flüchtlingseigenschaft zu Recht verneint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w:t>
      </w:r>
    </w:p>
    <w:p>
      <w:r>
        <w:t>E-4998/2023 Seite 9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11.2.3</w:t>
      </w:r>
    </w:p>
    <w:p>
      <w:r>
        <w:t>Das flüchtlingsrechtliche Refoulement-Verbot schützt nur Personen, welche die Flüchtlingseigenschaft erfüllen. Da es der Beschwerdeführerin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t>E-4998/2023 Seite 10</w:t>
      </w:r>
    </w:p>
    <w:p>
      <w:r>
        <w:rPr>
          <w:b/>
        </w:rPr>
        <w:t>E. 11.2.4</w:t>
      </w:r>
    </w:p>
    <w:p>
      <w:r>
        <w:t>Sodann ergeben sich weder aus den Aussagen der Beschwerde- führerin noch aus den Akten Anhaltspunkte dafür, dass sie für den Fall ei- ner Ausschaffung nach Burundi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EGMR [Grosse Kam- mer], Saadi gegen Italien, Urteil vom 28. Februar 2008, Beschwerde Nr. 37201/06, §§ 124 – 127, m.w.H.). Diesbezüglich führt die Beschwerde- führerin in ihrer Beschwerde aus, es sei in Burundi üblich, dass, wenn ein Familienmitglied gesucht werde, die anderen Familienmitglieder ebenfalls gesucht würden. So seien beispielsweise ihre Familie, einschliesslich der Brüder ihres Adoptivvaters, die politische Gegner gewesen seien, verhaftet und befänden sich derzeit in Haft. Es ist festzustellen, dass aus den Vor- bringen der Beschwerdeführerin nicht ersichtlich ist, dass die geltend ge- machte Verhaftung ihrer Familienmitglieder einen Zusammenhang mit ihr oder ihren Ausreisegründen aufweist. Des Weiteren begründet die Aus- und Wiedereinreise, obschon ohne Genehmigung, klarerweise kein «real risk». Die allgemeine Menschenrechtssituation in Burundi lässt ebenfalls nicht auf das Bestehen eines «real risk» einer völkerrechtswidrigen Be- handlung schliessen (vgl. etwa Urteil des BVGer D-2162/2023 vom 25. Ap- ril 2023 S. 6). Nach dem Gesagten ist der Vollzug der Wegweisung sowohl im Sinne der landes- als auch der völkerrechtlichen Bestimmungen zuläs- sig. Daran vermögen auch die in der Beschwerde aufgeführten Berichte nichts zu ändern.</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Die allgemeine Situation im Heimatstaat der Beschwerdeführerin ist nicht von Krieg, Bürgerkrieg oder allgemeiner Gewalt geprägt. Trotz der heiklen Situation in einigen Provinzen Burundis, insbesondere in wirt- schaftlicher und sicherheitspolitischer Hinsicht (vgl. Urteil des BVGer D-2162/2023 vom 25. April 2023), ist es der Beschwerdeführerin in casu zuzumuten, in ihr Heimatland zurückzukehren. Ihren Angaben zufolge habe sie zuletzt in C._______, Burundi bei ihrer Pflegefamilie gelebt. Ihr</w:t>
      </w:r>
    </w:p>
    <w:p>
      <w:r>
        <w:t>E-4998/2023 Seite 11 Adoptivvater habe beim (…)kommissariat in Burundi gearbeitet, sei neben dieser Anstellung im Handel mit (…) tätig sowie Eigentümer einer (…) ge- wesen. Die Beschwerdeführerin habe in Burundi die Schule bis zur</w:t>
      </w:r>
    </w:p>
    <w:p>
      <w:r>
        <w:rPr>
          <w:b/>
        </w:rPr>
        <w:t>E. 11.3.3</w:t>
      </w:r>
    </w:p>
    <w:p>
      <w:r>
        <w:t>Es werden weder im vorinstanzlichen Verfahren noch auf Be- schwerdeebene gesundheitliche Probleme geltend gemacht, weshalb nicht vom Vorliegen solcher ausgegangen werden muss. Der Gesundheitszu- stand der Beschwerdeführerin steht somit dem Vollzug der Wegweisung nicht entgegen.</w:t>
      </w:r>
    </w:p>
    <w:p>
      <w:r>
        <w:rPr>
          <w:b/>
        </w:rPr>
        <w:t>E. 11.3.4</w:t>
      </w:r>
    </w:p>
    <w:p>
      <w:r>
        <w:t>Nach dem Gesagten erweist sich der Vollzug der Wegweisung auch als zumutbar.</w:t>
      </w:r>
    </w:p>
    <w:p>
      <w:r>
        <w:rPr>
          <w:b/>
        </w:rPr>
        <w:t>E. 11.4</w:t>
      </w:r>
    </w:p>
    <w:p>
      <w:r>
        <w:t>Schliesslich obliegt es der Beschwerdeführerin, sich bei der zuständi- gen Vertretung des Heimatstaates die für eine Rückkehr notwendigen Rei- sedokumente zu beschaffen (Art. 8 Abs. 4 AsylG und vgl.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Klasse besucht, aber nicht abgeschlossen. Sie habe anschliessend nicht gearbeitet. Ihre Pflegefamilie habe ihr den Lebensunterhalt finanziert. Die Beschwerde der Pflegefamilie wird mit heutigem Urteil E-4995/2023 ebenfalls abgewiesen und insbesondere der von der Vorinstanz angeord- nete Vollzug der Wegweisung nach Burundi bestätigt. Die Beschwerdefüh- rerin kann daher gemeinsam mit ihrer Pflegefamilie nach Burundi zurück- kehren, wo sie, wie vor ihrer gemeinsamen Ausreise, durch diese finanziell unterstützt werden kann, weshalb ihre wirtschaftliche Absicherung und ein familiäres Umfeld in Burundi gegeben zu sein scheint.</w:t>
      </w:r>
    </w:p>
    <w:p>
      <w:r>
        <w:rPr>
          <w:b/>
        </w:rPr>
        <w:t>E. 13.1</w:t>
      </w:r>
    </w:p>
    <w:p>
      <w:r>
        <w:t>Die Gesuche um Gewährung der unentgeltlichen Prozessführung und amtlichen Rechtsverbeiständung sind abzuweisen, da die Begehren – wie sich aus den vorstehenden Erwägungen ergibt – als aussichtslos zu</w:t>
      </w:r>
    </w:p>
    <w:p>
      <w:r>
        <w:t>E-4998/2023 Seite 12 bezeichnen sind. Das Gesuch um Verzicht auf die Erhebung eines Kosten- vorschusses ist gegenstandslos geworden.</w:t>
      </w:r>
    </w:p>
    <w:p>
      <w:r>
        <w:rPr>
          <w:b/>
        </w:rPr>
        <w:t>E. 13.2</w:t>
      </w:r>
    </w:p>
    <w:p>
      <w:r>
        <w:t>Entsprechend dem Ausgang des Verfahrens sind die Kosten der Be- schwerdeführerin aufzuerlegen (Art. 63 Abs. 1 VwVG) und auf insgesamt Fr. 750.– festzusetzen (Art. 1–3 des Reglements vom 21. Februar 2008 über die Kosten und Entschädigungen vor dem Bundesverwaltungsgericht [VGKE, SR 173.320.2]).</w:t>
      </w:r>
    </w:p>
    <w:p>
      <w:r>
        <w:t>(Dispositiv nächste Seite)</w:t>
      </w:r>
    </w:p>
    <w:p>
      <w:r>
        <w:t>E-4998/2023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