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E-4993/2014 vom 13. Oktober 2014</w:t>
      </w:r>
    </w:p>
    <w:p>
      <w:r>
        <w:t>Bundesverwaltungsgericht, 2014-10-13, FR</w:t>
      </w:r>
    </w:p>
    <w:p>
      <w:r>
        <w:rPr>
          <w:b/>
        </w:rPr>
        <w:t xml:space="preserve">Quelle: </w:t>
      </w:r>
      <w:r>
        <w:t>https://mcp.opencaselaw.ch/entscheid/bvger_E-4993_2014</w:t>
      </w:r>
    </w:p>
    <w:p>
      <w:r>
        <w:t>FR: TAF E-4993/2014 du 13 octobre 2014</w:t>
      </w:r>
    </w:p>
    <w:p>
      <w:r>
        <w:t>IT: TAF E-4993/2014 del 13 ottobre 2014</w:t>
      </w:r>
    </w:p>
    <w:p>
      <w:pPr>
        <w:pStyle w:val="Heading2"/>
      </w:pPr>
      <w:r>
        <w:t>Regeste</w:t>
      </w:r>
    </w:p>
    <w:p>
      <w:r>
        <w:t>Attribution d'un demandeur d'asile à un canton</w:t>
      </w:r>
    </w:p>
    <w:p>
      <w:pPr>
        <w:pStyle w:val="Heading2"/>
      </w:pPr>
      <w:r>
        <w:t>Erwägungen</w:t>
      </w:r>
    </w:p>
    <w:p>
      <w:r>
        <w:rPr>
          <w:b/>
        </w:rPr>
        <w:t>E. 1.1</w:t>
      </w:r>
    </w:p>
    <w:p>
      <w:r>
        <w:t>En vertu de l'art. 31 LTAF (RS 173.32), le Tribunal administratif fédéral (ci-après: le Tribunal) connaît des recours contre les décisions au sens de l'art. 5 PA (RS 172.021). En particulier, les décisions de refus de changement de canton d'attribution de personnes admises provisoirement rendues par l'ODM - lesquelles n'entrent pas dans le champ d'exclusion de l'art. 32 LTAF - peuvent être contestées devant le Tribunal conformément à l'art. 33 let. d LTAF. Le Tribunal est donc compétent pour connaître du présent litige. Il statue de manière définitive (cf. art. 83 let. c ch. 3 LTF [RS 173.110]).</w:t>
      </w:r>
    </w:p>
    <w:p>
      <w:r>
        <w:rPr>
          <w:b/>
        </w:rPr>
        <w:t>E. 1.2</w:t>
      </w:r>
    </w:p>
    <w:p>
      <w:r>
        <w:t>L'admission provisoire est réglementée à l'art. 85 LEtr (RS 142.20). En vertu du 4ème alinéa de cette disposition, la décision relative au changement de canton ne peut faire l'objet d'un recours que si elle viole le principe de l'unité de la famille. En l'occurrence, le recourant a fait grief à l'ODM d'avoir violé le principe de la proportionnalité en ne tenant pas compte des motifs invoqués. Il s'est donc plaint d'une violation grossière du principe de l'unité de la famille au sens de l'art. 85 al. 4 LEtr. Partant, le recours est recevable sous l'angle de l'art. 85 al. 4 LEtr.</w:t>
      </w:r>
    </w:p>
    <w:p>
      <w:r>
        <w:rPr>
          <w:b/>
        </w:rPr>
        <w:t>E. 1.3</w:t>
      </w:r>
    </w:p>
    <w:p>
      <w:r>
        <w:t>Le recourant a qualité pour recourir (cf. art. 48 al. 1 PA, applicable par les renvois des art. 112 al. 1 LEtr et 37 LTAF). Déposé dans la forme (cf. art. 52 al. 1 PA) et le délai (cf. art. 108 al. 1 LAsi) prescrits par la loi, le recours est recevable.</w:t>
      </w:r>
    </w:p>
    <w:p>
      <w:r>
        <w:rPr>
          <w:b/>
        </w:rPr>
        <w:t>E. 2.1</w:t>
      </w:r>
    </w:p>
    <w:p>
      <w:r>
        <w:t>Aux termes de l'art. 85 al. 3 et 4 LEtr, l'étranger admis à titre provisoire qui souhaite changer de canton soumet sa demande à l'ODM ; celui-ci rend une décision définitive après avoir entendu les cantons concernés, sous réserve de l'al. 4, qui précise que la décision relative au changement de canton ne peut faire l'objet d'un recours que si elle viole le principe de l'unité de la famille. Il convient de préciser que, contrairement à ce qui pourrait ressortir de la décision de l'ODM du 30 juillet 2014, les dispositions applicables aux étrangers admis à titre provisoire se distinguent de celles applicables aux requérants d'asile. En effet, dans le cas de personnes admises provisoirement, les cantons concernés ne sont pas entendus en vertu de l'art. 22 al. 2 de l'ordonnance 1 du 11 août 1999 sur l'asile relative à la procédure (OA 1, RS 142.311), disposition applicable aux seuls requérants d'asile pour lesquels un changement de canton n'est possible que si les deux cantons y consentent, mais en vertu de l'art. 85 al. 3 LEtr, sous réserve de l'al. 4 de cette disposition (cf. arrêts du Tribunal D 547/2012 du 2 octobre 2013 consid. 2.1, E 3620/2012 du 6 septembre 2012 consid. 3.1).</w:t>
      </w:r>
    </w:p>
    <w:p>
      <w:r>
        <w:rPr>
          <w:b/>
        </w:rPr>
        <w:t>E. 2.2</w:t>
      </w:r>
    </w:p>
    <w:p>
      <w:r>
        <w:t>L'étendue de la protection assurée par le principe de l'unité de la famille arrêté à l'art. 85 al. 4 LEtr ne dépasse donc pas celle de la notion correspondante de l'art. 8 par. 1 CEDH (cf. ATAF 2008/47 consid. 4.1).</w:t>
      </w:r>
    </w:p>
    <w:p>
      <w:r>
        <w:rPr>
          <w:b/>
        </w:rPr>
        <w:t>E. 2.2.1</w:t>
      </w:r>
    </w:p>
    <w:p>
      <w:r>
        <w:t>L'art. 8 par. 1 CEDH vise à protéger principalement les relations existant au sein de la famille au sens étroit (famille nucléaire), et plus particulièrement « entre époux » et « entre parents et enfants mineurs » vivant en ménage commun. La notion de famille selon la jurisprudence du Tribunal en matière d'asile correspond à celle que le Tribunal fédéral a développée en relation avec le droit au respect de la vie privée et familiale consacré par l'art. 8 CEDH. Ainsi, la protection du noyau familial s'étend aux partenaires enregistrés et aux personnes qui vivent en concubinage de manière durable, et à leurs enfants mineurs vivant en ménage commun (cf. ATAF 2008/47 consid. 4.1.1 et réf. cit.). Selon la jurisprudence du Tribunal fédéral en matière de droit civil, par concubinage stable, étroit ou qualifié, suivant la terminologie employée, il faut entendre une communauté de vie d'une certaine durée, voire durable, entre deux personnes, à caractère en principe exclusif, qui présente une composante tant spirituelle que corporelle et économique, et qui est parfois également désignée comme une communauté de toit, de table et de lit (cf. ATF 140 V 50 consid. 3.4.3 ; 138 III 157 consid. 2.3.3). Le juge doit procéder à une appréciation de tous les facteurs déterminants, étant précisé que la qualité d'une communauté de vie s'évalue au regard de l'ensemble des circonstances de la vie commune (cf. ATAF 2012/5 consid. 4.7.1 ; ATAF 2012/4 consid. 3.3.2). Le Tribunal de céans a estimé qu'une durée de vie commune entre 15 et 18 mois n'était pas suffisante pour admettre l'existence d'une relation stable et durable, en dépit de la présence d'un enfant commun reconnu par le recourant (cf. arrêt E-6729/2013 du 19 décembre 2013, p. 6). En outre, hormis dans l'affaire Keegan (cf. arrêt de la Cour européenne des droits de l'homme [CourEDH] Keegan c. Irlande du 26 mai 1994, 16969/90, série A vol. 290 § 45), la Cour européenne des droits de l'Homme n'a accordé une protection conventionnelle à des couples de concubins qu'à des relations bien établies dans la durée, de six à dix-huit ans en présence d'enfants communs ou bien élevés ensemble (cf. arrêt du Tribunal fédéral 2C_205/2012 du 2 mars 2012, consid. 4.1 et les réf. cit.).</w:t>
      </w:r>
    </w:p>
    <w:p>
      <w:r>
        <w:rPr>
          <w:b/>
        </w:rPr>
        <w:t>E. 2.2.2</w:t>
      </w:r>
    </w:p>
    <w:p>
      <w:r>
        <w:t>D'autres liens familiaux ou de parenté (par exemple les frères et soeurs, les grands-parents) peuvent également être protégés, en présence de circonstances particulières. Ainsi, les personnes qui ne font pas partie du noyau familial ne peuvent se prévaloir de l'art. 8 par. 1 CEDH que lorsqu'elles se trouvent dans un état de dépendance particulière envers le membre de leur famille qu'elles souhaitent rejoindre en raison, par exemple, d'un handicap ou d'une maladie graves (cf. ATAF 2009/8 consid. 5.3.2 et 8.5, ATAF 2008/47 consid. 4.1.4 ; voir aussi ATF 129 II 11 consid. 2 p. 13 s.). L'extension de la protection de l'art. 8 par. 1 CEDH suppose l'existence non seulement d'une vie familiale « effective », mais encore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(cf. arrêt du Tribunal fédéral 2C_194/2007 du 12 juillet 2007 consid. 2.2.2).</w:t>
      </w:r>
    </w:p>
    <w:p>
      <w:r>
        <w:rPr>
          <w:b/>
        </w:rPr>
        <w:t>E. 2.2.3</w:t>
      </w:r>
    </w:p>
    <w:p>
      <w:r>
        <w:t>Il sied encore de relever que la protection de la vie privée et familiale garantie par l'art. 13 al. 1 Cst. ne confère pas des droits plus étendus que ceux qui sont garantis par l'art. 8 par. 1 CEDH (cf. ATAF 2007/45 consid. 5.3 ; ATF 129 II 215 consid. 4.2 p. 218 s., ATF 126 II 377 consid. 7 p. 394).</w:t>
      </w:r>
    </w:p>
    <w:p>
      <w:r>
        <w:rPr>
          <w:b/>
        </w:rPr>
        <w:t>E. 3.1</w:t>
      </w:r>
    </w:p>
    <w:p>
      <w:r>
        <w:t>En l'occurrence, le recourant a invoqué le principe de l'unité de la famille à l'appui de sa requête de changement de canton. Il a affirmé qu'il voulait vivre avec sa compagne et future épouse et les enfants de celle-ci dans le canton de D._______ et se rapprocher par la même occasion de son lieu de travail. L'ODM a refusé de donner suite à cette requête, tenant compte de l'avis défavorable du canton de D._______.</w:t>
      </w:r>
    </w:p>
    <w:p>
      <w:r>
        <w:rPr>
          <w:b/>
        </w:rPr>
        <w:t>E. 3.2</w:t>
      </w:r>
    </w:p>
    <w:p>
      <w:r>
        <w:t>En l'espèce, le recourant admis provisoirement ne forme pas une famille au sens étroit, ainsi que définie ci-dessus (cf. consid. 2.2.1 supra), avec sa compagne et les enfants de celle-ci. En effet, il n'est pas marié à sa compagne et, bien que des démarches en vue du mariage semblent être en cours, l'union n'est de toute évidence pas imminente. A noter que la future épouse du recourant a entrepris une procédure canonique d'annulation de son précédent mariage qui peut durer entre un et deux ans, de sorte que son intention de convoler civilement dans l'intervalle n'est pas établie. Par ailleurs, le recourant est demeuré très vague quant au début de sa relation avec sa fiancée. En effet, il n'a lui-même pas daté, même approximativement, leur rencontre ; ce n'est qu'à la lecture de la lettre de sa compagne, datée du 17 juillet 2014, que l'on apprend qu'ils seraient en couple depuis trois ans. En outre, il ressort du dossier que le recourant était domicilié à E._______ jusqu'au (...) 2014, à proximité du domicile de son ancienne compagne, qui avait déposé des plaintes pénales contre lui et avec laquelle il entretenait une relation conflictuelle, en particulier s'agissant de ses visites à leur fille commune. A compter de cette date, il s'est installé au domicile de sa fiancée, à F._______ (cf. bail à loyer de sa compagne et attestation de la commune de E._______). Le Tribunal relève que leur relation n'est pas assimilable à un concubinage qualifié au sens de la jurisprudence rappelée ci-avant (cf. consid. 2.2.1 supra), puisqu'ils vivent en ménage commun seulement depuis le mois de (...) 2014. De plus, vu l'absence d'un acte de reconnaissance en paternité, le recourant ne peut être considéré comme le père des enfants de son amie, et l'aide qu'il lui apporte à leur égard ne s'étend pas suffisamment dans la durée pour que l'on puisse en déduire la présence d'une « vie familiale » au sens de l'art. 8 par. 1 CEDH.</w:t>
      </w:r>
    </w:p>
    <w:p>
      <w:r>
        <w:rPr>
          <w:b/>
        </w:rPr>
        <w:t>E. 3.3</w:t>
      </w:r>
    </w:p>
    <w:p>
      <w:r>
        <w:t>Dans ces conditions, il n'y a pas lieu de vérifier si le refus d'autorisation de changement de canton constituerait une ingérence dans la vie familiale du recourant et si celle-ci serait justifiée au sens de l'art. 8 par. 2 CEDH.</w:t>
      </w:r>
    </w:p>
    <w:p>
      <w:r>
        <w:rPr>
          <w:b/>
        </w:rPr>
        <w:t>E. 3.4</w:t>
      </w:r>
    </w:p>
    <w:p>
      <w:r>
        <w:t>Au vu des dispositions applicables rappelées ci-avant, le Tribunal remarque que le temps de trajet du recourant entre son domicile et son lieu de travail n'est pas déterminant. Le recourant n'a d'ailleurs établi que le dépôt d'une demande d'autorisation de prise d'emploi dans le canton de D._______ par son employeur.</w:t>
      </w:r>
    </w:p>
    <w:p>
      <w:r>
        <w:rPr>
          <w:b/>
        </w:rPr>
        <w:t>E. 3.5</w:t>
      </w:r>
    </w:p>
    <w:p>
      <w:r>
        <w:t>Il ressort de ce qui précède que le recours est mal fondé, la décision attaquée ne violant pas le principe de l'unité de la famille au sens de l'art. 85 al. 4 LEtr. Il s'ensuit que le recours doit être rejeté et la décision attaquée confirmée.</w:t>
      </w:r>
    </w:p>
    <w:p>
      <w:r>
        <w:rPr>
          <w:b/>
        </w:rPr>
        <w:t>E. 4</w:t>
      </w:r>
    </w:p>
    <w:p>
      <w:r>
        <w:t>S'avérant manifestement infondé, le recours est rejeté dans une procédure à juge unique, avec l'approbation d'un second juge (art. 111 let. e LAsi). Il est renoncé à un échange d'écritures (cf. art. 111a al. 1 LAsi).</w:t>
      </w:r>
    </w:p>
    <w:p>
      <w:r>
        <w:rPr>
          <w:b/>
        </w:rPr>
        <w:t>E. 5.1</w:t>
      </w:r>
    </w:p>
    <w:p>
      <w:r>
        <w:t>Dans la mesure où les conclusions du recours étaient d'emblée vouées à l'échec, la demande d'assistance judiciaire partielle doit être rejetée (cf. art. 65 al. 1 PA).</w:t>
      </w:r>
    </w:p>
    <w:p>
      <w:r>
        <w:rPr>
          <w:b/>
        </w:rPr>
        <w:t>E. 5.2</w:t>
      </w:r>
    </w:p>
    <w:p>
      <w:r>
        <w:t>Au vu de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