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E-4984/2025 vom 5. Juni 2025</w:t>
      </w:r>
    </w:p>
    <w:p>
      <w:r>
        <w:t>Bundesverwaltungsgericht, 2025-06-05, DE</w:t>
      </w:r>
    </w:p>
    <w:p>
      <w:r>
        <w:rPr>
          <w:b/>
        </w:rPr>
        <w:t xml:space="preserve">Quelle: </w:t>
      </w:r>
      <w:r>
        <w:t>https://mcp.opencaselaw.ch/entscheid/bvger_E-4984_2025_d20250605</w:t>
      </w:r>
    </w:p>
    <w:p>
      <w:r>
        <w:t>FR: TAF E-4984/2025 du 5 juin 2025</w:t>
      </w:r>
    </w:p>
    <w:p>
      <w:r>
        <w:t>IT: TAF E-4984/2025 del 5 giugno 2025</w:t>
      </w:r>
    </w:p>
    <w:p>
      <w:pPr>
        <w:pStyle w:val="Heading2"/>
      </w:pPr>
      <w:r>
        <w:t>Regeste</w:t>
      </w:r>
    </w:p>
    <w:p>
      <w:r>
        <w:t>Asyl und Wegweisung | Asyl und Wegweisung; Verfügung des SEM vom 5. Juni 2025</w:t>
      </w:r>
    </w:p>
    <w:p>
      <w:pPr>
        <w:pStyle w:val="Heading2"/>
      </w:pPr>
      <w:r>
        <w:t>Erwägungen</w:t>
      </w:r>
    </w:p>
    <w:p>
      <w:r>
        <w:rPr>
          <w:b/>
        </w:rPr>
        <w:t>E. 8</w:t>
      </w:r>
    </w:p>
    <w:p>
      <w:r>
        <w:t>November 2024 zu verweisen ist (vgl. a.a.O., E. 7.1 ff. und E. 8 ff.),</w:t>
      </w:r>
    </w:p>
    <w:p>
      <w:r>
        <w:t>E-4984/2025 Seite 8 dass in Bezug auf die laufenden Verfahren gegen den Beschwerdeführer wegen Präsidentenbeleidung und Beleidung in drei weiteren Fällen eben- falls auf die Ausführungen der angefochtenen Verfügung (vgl. angefoch- tene Verfügung vom 5. Juni 2025 Ziff. II/4.) und das zuvor erwähnte Refe- renzurteil vom 8. November 2024 zu verweisen ist, dass schliesslich auch unter Gesamtbetrachtung der Vorbringen und ent- gegen den Ausführungen der Beschwerdeschrift nicht von einem erhöhten Risikoprofil des Beschwerdeführers und auch nicht von einer mit beachtli- cher Wahrscheinlichkeit drohenden Verfolgung auszugehen ist, dass die Vorbringen in Bezug auf den Militärdienst bereits aufgrund von Art. 3 Abs. 3 AsylG nicht asylrelevant sind und zudem nicht ersichtlich ist, dass eine übermässige Bestrafung drohen würde, dass es dem Beschwerdeführer somit nicht gelingt, die Flüchtlingseigen- schaft nachzuweisen oder zumindest aufzuzeigen, weshalb die Vorinstanz das Asylgesuch zu Unrecht abgelehnt hat, dass auch die auf Beschwerdeebene eingereichten Beweismittel nichts an dieser Einschätzung zu ändern vermögen,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w:t>
      </w:r>
    </w:p>
    <w:p>
      <w:r>
        <w:t>E-4984/2025 Seite 9 Abs. 3 AIG), da nach vorstehenden Erwägungen keine Hinweise auf eine flüchtlingsrechtlich relevante Verfolgung bestehen (Art. 5 Abs. 1 AsylG; Art. 33 Abs. 1 FK)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(Urteil des BVGer E-1308/2023 vom 19. März 2024 E. 11.3.1), dass bei individueller Unzumutbarkeit der Rückkehr in eine der betroffenen Provinzen in einem zweiten Schritt eine zumutbare Aufenthaltsalternative in einer anderen Region der Türkei zu prüfen wäre (vgl. BVGE 2013/2 E. 9.6.1 m.w.H.), dass der Beschwerdeführer aus der Provinz C._______ stammt, die vom Erdbeben nicht zentral betroffen gewesen ist, dass der Beschwerdeführer jung, gebildet und erwerbsfähig ist sowie über Berufserfahrung verfügt, dass der Beschwerdeführer gemäss Aktenlage nur geringfügige medizini- sche Probleme hat und in seiner Heimat auf ein intaktes soziales Netzwerk in B._______ und D._______ zurückgreifen kann, dass sich der Vollzug der Wegweisung somit in allgemeiner wie auch in individueller Hinsicht als zumutbar erweist, dass es dem Beschwerdeführer obliegt, sich die für seine Rückkehr allen- falls benötigten Reisedokumente zu beschaffen (Art. 8 Abs. 4 AsylG;</w:t>
      </w:r>
    </w:p>
    <w:p>
      <w:r>
        <w:t>E-4984/2025 Seite 10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 schädigungen vor dem Bundesverwaltungsgericht [VGKE, SR 173.320.2]) dem Beschwerdeführer aufzuerlegen sind (Art. 63 Abs. 1 VwVG) und der in gleicher Höhe geleistete Kostenvorschuss zur Bezahlung der Verfah- renskosten zu verwenden ist.</w:t>
      </w:r>
    </w:p>
    <w:p>
      <w:r>
        <w:t>(Dispositiv nächste Seite)</w:t>
      </w:r>
    </w:p>
    <w:p>
      <w:r>
        <w:t>E-4984/2025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