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E-4984/2025 vom 23. Oktober 2025</w:t>
      </w:r>
    </w:p>
    <w:p>
      <w:r>
        <w:t>Bundesverwaltungsgericht, 2025-10-23, DE</w:t>
      </w:r>
    </w:p>
    <w:p>
      <w:r>
        <w:rPr>
          <w:b/>
        </w:rPr>
        <w:t xml:space="preserve">Quelle: </w:t>
      </w:r>
      <w:r>
        <w:t>https://mcp.opencaselaw.ch/entscheid/bvger_E-4984_2025</w:t>
      </w:r>
    </w:p>
    <w:p>
      <w:r>
        <w:t>FR: TAF E-4984/2025 du 23 octobre 2025</w:t>
      </w:r>
    </w:p>
    <w:p>
      <w:r>
        <w:t>IT: TAF E-4984/2025 del 23 ottobre 2025</w:t>
      </w:r>
    </w:p>
    <w:p>
      <w:pPr>
        <w:pStyle w:val="Heading2"/>
      </w:pPr>
      <w:r>
        <w:t>Regeste</w:t>
      </w:r>
    </w:p>
    <w:p>
      <w:r>
        <w:t>Asyl und Wegweisung</w:t>
      </w:r>
    </w:p>
    <w:p>
      <w:pPr>
        <w:pStyle w:val="Heading2"/>
      </w:pPr>
      <w:r>
        <w:t>Erwägungen</w:t>
      </w:r>
    </w:p>
    <w:p>
      <w:r>
        <w:rPr>
          <w:b/>
        </w:rPr>
        <w:t>E. 8</w:t>
      </w:r>
    </w:p>
    <w:p>
      <w:r>
        <w:t>November 2024 zu verweisen ist (vgl. a.a.O., E. 7.1 ff. und E. 8 ff.),</w:t>
      </w:r>
    </w:p>
    <w:p>
      <w:r>
        <w:t>E-4984/2025 Seite 8 dass in Bezug auf die laufenden Verfahren gegen den Beschwerdeführer wegen Präsidentenbeleidung und Beleidung in drei weiteren Fällen eben- falls auf die Ausführungen der angefochtenen Verfügung (vgl. angefoch- tene Verfügung vom 5. Juni 2025 Ziff. II/4.) und das zuvor erwähnte Refe- renzurteil vom 8. November 2024 zu verweisen ist, dass schliesslich auch unter Gesamtbetrachtung der Vorbringen und ent- gegen den Ausführungen der Beschwerdeschrift nicht von einem erhöhten Risikoprofil des Beschwerdeführers und auch nicht von einer mit beachtli- cher Wahrscheinlichkeit drohenden Verfolgung auszugehen ist, dass die Vorbringen in Bezug auf den Militärdienst bereits aufgrund von Art. 3 Abs. 3 AsylG nicht asylrelevant sind und zudem nicht ersichtlich ist, dass eine übermässige Bestrafung drohen würde, dass es dem Beschwerdeführer somit nicht gelingt, die Flüchtlingseigen- schaft nachzuweisen oder zumindest aufzuzeigen, weshalb die Vorinstanz das Asylgesuch zu Unrecht abgelehnt hat, dass auch die auf Beschwerdeebene eingereichten Beweismittel nichts an dieser Einschätzung zu ändern vermögen, dass die Anordnung der Wegweisung aus der Schweiz im Einklang mit den gesetzlichen Bestimmungen steht und zu bestätigen ist, da der Beschwer- deführer insbesondere weder über einen Aufenthaltstitel für die Schweiz noch über eine Anspruchsgrundlage auf Erteilung eines solchen verfügt (Art. 44 [erster Satz] AsylG; BVGE 2013/37 E. 4.4 und 2009/50 E. 9, je m.w.H.), dass das SEM das Anwesenheitsverhältnis nach den gesetzlichen Bestim- mungen über die vorläufige Aufnahme regelt, wenn der Vollzug der Weg- weisung nicht zulässig, nicht zumutbar oder nicht möglich ist (Art. 44 AsylG; Art. 83 Abs. 1–4 AIG [SR 142.20]), dass bezüglich der Geltendmachung von Wegweisungsvollzugshindernis- sen gemäss Praxis des Bundesverwaltungsgerichts der gleiche Beweis- standard wie bei der Flüchtlingseigenschaft gilt, das heisst, allfällige Weg- weisungsvollzugshindernisse sind zu beweisen, wenn der strikte Beweis möglich ist, und andernfalls wenigstens glaubhaft zu machen (vgl. BVGE 2011/24 E. 10.2 m.w.H.), dass sich der Vollzug der Wegweisung in Beachtung der massgeblichen völker- und landesrechtlichen Bestimmungen als zulässig erweist (Art. 83</w:t>
      </w:r>
    </w:p>
    <w:p>
      <w:r>
        <w:t>E-4984/2025 Seite 9 Abs. 3 AIG), da nach vorstehenden Erwägungen keine Hinweise auf eine flüchtlingsrechtlich relevante Verfolgung bestehen (Art. 5 Abs. 1 AsylG; Art. 33 Abs. 1 FK) und auch keine konkreten Anhaltspunkte für eine in der Heimat drohende menschenrechtswidrige Behandlung (im Sinne von Art. 3 EMRK) ersichtlich sind, dass sich der Vollzug für Ausländerinnen und Ausländer als unzumutbar erweist, wenn sie im Heimat- oder Herkunftsstaat aufgrund von Situationen wie Krieg, Bürgerkrieg, allgemeiner Gewalt und medizinischer Notlage kon- kret gefährdet sind (Art. 83 Abs. 4 AIG), dass weder die allgemeine Lage im Heimat- beziehungsweise Herkunfts- staat des Beschwerdeführers noch individuelle Gründe auf eine konkrete Gefährdung im Falle einer Rückkehr schliessen lassen, dass das Bundesverwaltungsgericht auch nach dem Erdbeben vom Feb- ruar 2023 den Vollzug der Wegweisung abgewiesener Asylsuchender in die betroffenen Gebiete nicht für generell unzumutbar hält, sondern zur Be- urteilung der Zumutbarkeit eine einzelfallweise Prüfung der individuellen Lebenssituation vornimmt (Urteil des BVGer E-1308/2023 vom 19. März 2024 E. 11.3.1), dass bei individueller Unzumutbarkeit der Rückkehr in eine der betroffenen Provinzen in einem zweiten Schritt eine zumutbare Aufenthaltsalternative in einer anderen Region der Türkei zu prüfen wäre (vgl. BVGE 2013/2 E. 9.6.1 m.w.H.), dass der Beschwerdeführer aus der Provinz C._______ stammt, die vom Erdbeben nicht zentral betroffen gewesen ist, dass der Beschwerdeführer jung, gebildet und erwerbsfähig ist sowie über Berufserfahrung verfügt, dass der Beschwerdeführer gemäss Aktenlage nur geringfügige medizini- sche Probleme hat und in seiner Heimat auf ein intaktes soziales Netzwerk in B._______ und D._______ zurückgreifen kann, dass sich der Vollzug der Wegweisung somit in allgemeiner wie auch in individueller Hinsicht als zumutbar erweist, dass es dem Beschwerdeführer obliegt, sich die für seine Rückkehr allen- falls benötigten Reisedokumente zu beschaffen (Art. 8 Abs. 4 AsylG;</w:t>
      </w:r>
    </w:p>
    <w:p>
      <w:r>
        <w:t>E-4984/2025 Seite 10 vgl. BVGE 2008/34 E. 12), weshalb der Vollzug der Wegweisung auch als möglich zu bezeichnen ist, dass die Anordnung der vorläufigen Aufnahme somit ausser Betracht fällt (Art. 83 Abs. 1-4 AIG), dass nach dem Gesagten die angefochtene Verfügung zu bestätigen und die eingereichte Beschwerde als offensichtlich unbegründet abzuweisen ist, dass bei diesem Ausgang des Verfahrens die Kosten von Fr. 750.– (Art. 1–3 des Reglements vom 21. Februar 2008 über die Kosten und Ent- schädigungen vor dem Bundesverwaltungsgericht [VGKE, SR 173.320.2]) dem Beschwerdeführer aufzuerlegen sind (Art. 63 Abs. 1 VwVG) und der in gleicher Höhe geleistete Kostenvorschuss zur Bezahlung der Verfah- renskosten zu verwenden ist.</w:t>
      </w:r>
    </w:p>
    <w:p>
      <w:r>
        <w:t>(Dispositiv nächste Seite)</w:t>
      </w:r>
    </w:p>
    <w:p>
      <w:r>
        <w:t>E-4984/2025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