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E-4983/2013 vom 18. September 2013</w:t>
      </w:r>
    </w:p>
    <w:p>
      <w:r>
        <w:t>Bundesverwaltungsgericht, 2013-09-18, DE</w:t>
      </w:r>
    </w:p>
    <w:p>
      <w:r>
        <w:rPr>
          <w:b/>
        </w:rPr>
        <w:t xml:space="preserve">Quelle: </w:t>
      </w:r>
      <w:r>
        <w:t>https://mcp.opencaselaw.ch/entscheid/bvger_E-4983_2013</w:t>
      </w:r>
    </w:p>
    <w:p>
      <w:r>
        <w:t>FR: TAF E-4983/2013 du 18 septembre 2013</w:t>
      </w:r>
    </w:p>
    <w:p>
      <w:r>
        <w:t>IT: TAF E-4983/2013 del 18 settembre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worden ist.</w:t>
      </w:r>
    </w:p>
    <w:p>
      <w:r>
        <w:rPr>
          <w:b/>
        </w:rPr>
        <w:t>E. 2</w:t>
      </w:r>
    </w:p>
    <w:p>
      <w:r>
        <w:t>Die Verfügung des BFM vom 22. August 2013 wird aufgehoben. Die Sache wird zur vollständigen und korrekten Feststellung des rechtserheblichen Sachverhalts und zur Neubeurteilung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die Beschwerdeführenden,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