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E-4982/2025 vom 27. August 2025</w:t>
      </w:r>
    </w:p>
    <w:p>
      <w:r>
        <w:t>Bundesverwaltungsgericht, 2025-08-27, DE</w:t>
      </w:r>
    </w:p>
    <w:p>
      <w:r>
        <w:rPr>
          <w:b/>
        </w:rPr>
        <w:t xml:space="preserve">Quelle: </w:t>
      </w:r>
      <w:r>
        <w:t>https://mcp.opencaselaw.ch/entscheid/bvger_E-4982_2025</w:t>
      </w:r>
    </w:p>
    <w:p>
      <w:r>
        <w:t>FR: TAF E-4982/2025 du 27 août 2025</w:t>
      </w:r>
    </w:p>
    <w:p>
      <w:r>
        <w:t>IT: TAF E-4982/2025 del 27 agosto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 nommen, ist durch die angefochtene Verfügung besonders berührt und hat ein schutzwürdiges Interesse an deren Aufhebung beziehungsweise Ände- rung. Sie ist daher zur Einreichung der Beschwerde legitimiert (Art. 105 AsylG i.V.m. Art. 48 Abs. 1 VwVG). Auf die frist- und mit der Beschwerde- verbesserung auch formgerechte Beschwerde ist einzutreten (Art. 105 AsylG; Art. 108 Abs. 2 AsylG und Art. 52 Abs. 1 VwVG). Hingegen ist auf den Antrag auf Gewährung der aufschiebenden Wirkung nicht einzutreten, zumal der Beschwerde von Gesetzes wegen aufschiebende Wirkung zu- kommt (Art. 42 AsylG und Art. 55 Abs. 1 VwVG) und ihr die Vorinstanz diese auch nicht entzogen hat.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Das vorliegende Urteil ergeht zeitgleich und im selben Spruchkörper wie jenes im Verfahren des Sohnes C. (E-4989/2025).</w:t>
      </w:r>
    </w:p>
    <w:p>
      <w:r>
        <w:t>E-4982/2025 Seite 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dem Betroffenen eine funktionierende Schutzinfrastruktur zur Verfü- gung steht und ihm deren Inanspruchnahme auch individuell zumutbar ist, wobei von einem Staat nicht erwartet werden kann, dass er jederzeit prä- ventiv in alle Lebensbereiche seiner Bürger eingreifen kann (vgl. zur Schutztheorie BVGE 2011/51 E. 7.1-7.4; 2008/12 E. 7.2.6.2; 2008/4 E. 5.2).</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begründet die angefochtene Verfügung im Wesentlichen da- mit, dass gemäss bundesverwaltungsgerichtlicher Rechtsprechung (insbe- sondere m.H.a. Referenzurteil des BVGer E-1948/2018 vom 12. Juni 2018 und Urteil des BVGer D-6584/2024 vom 20. November 2024) die türki- schen Behörden in der Lage und gewillt seien, Frauen vor Gewalt im fami- liären Kontext zu schützen, und die staatlichen Stellen den Betroffenen auch zugänglich seien. Wie sich aus den eingereichten Beweismitteln er- gebe, habe die Beschwerdeführerin aufgrund des Vorfalls im Jahre 2014 ihren Ehemann angezeigt und dieser sei in der Folge verurteilt worden,</w:t>
      </w:r>
    </w:p>
    <w:p>
      <w:r>
        <w:t>E-4982/2025 Seite 7 womit die türkischen Behörden nicht untätig geblieben seien. Obschon die Beschwerdeführerin weiter misshandelt worden sei, habe sie ihren Ehe- mann nicht mehr angezeigt, sodass den türkischen Behörden nicht vorge- worfen werden könne, sie nicht geschützt zu haben. Sie habe nicht alles ihr Zumutbare unternommen, um in ihrer Heimat Schutz zu erhalten.</w:t>
      </w:r>
    </w:p>
    <w:p>
      <w:r>
        <w:rPr>
          <w:b/>
        </w:rPr>
        <w:t>E. 6.2</w:t>
      </w:r>
    </w:p>
    <w:p>
      <w:r>
        <w:t>Dagegen wendet die Beschwerdeführerin ein, zwischen der Anzeige im Jahre 2014 und der Fällung des erstinstanzlichen Urteils sei ein Jahr ver- strichen, während welchem sie keinen staatlichen Schutz erhalten habe. Die Verurteilung ihres Ehemannes habe kaum Wirkung gezeigt. Danach habe er sie erneut gefunden, bedroht und habe ihr die Nase gebrochen, sodass es ein Risiko dargestellt hätte, sich an die Behörden zu wenden. Die Polizei habe nicht eingegriffen und ihre Anzeigen nicht ernst genom- men. Sie habe mit ihren Kindern stets den Wohnort wechseln müssen. Aus- serdem habe sie Frauenhäuser kontaktiert, wobei ihr mitgeteilt worden sei, dass kein Platz vorhanden sei. Die Schutzmechanismen in der Türkei er- wiesen sich als unwirksam. Ihr Ehemann habe Straflosigkeit genossen und niemand habe überprüft, ob er sich an das Kontaktverbot gehalten habe. Sowohl aufgrund der politischen Gesinnung ihres Vaters als auch aufgrund ihres Familiennamens befürchte sie, keinen ausreichenden Schutz zu er- halten. In der Vergangenheit habe ihr Ehemann damit geprahlt, Beziehun- gen zu bestimmten Polizeibeamten zu pflegen. Bei einer Rückkehr be- fürchte sie, von ihm getötet zu werden, da er ihr dies angedroht habe, sollte sie ihn erneut verlassen oder Schutz bei den Behörden suchen.</w:t>
      </w:r>
    </w:p>
    <w:p>
      <w:r>
        <w:rPr>
          <w:b/>
        </w:rPr>
        <w:t>E. 7.1</w:t>
      </w:r>
    </w:p>
    <w:p>
      <w:r>
        <w:t>Das Bundesverwaltungsgericht kommt nach Durchsicht der Akten zum Schluss, dass das SEM mit zutreffender Begründung zur Erkenntnis ge- langt ist, die geltend gemachten Verfolgungsvorbringen würden den Anfor- derungen an die Flüchtlingseigenschaft gemäss Art. 3 AsylG nicht genü- gen. Um Wiederholungen zu vermeiden, kann auf die Begründung in der angefochtenen Verfügung verwiesen werden (vgl. ebd. II.).</w:t>
      </w:r>
    </w:p>
    <w:p>
      <w:r>
        <w:rPr>
          <w:b/>
        </w:rPr>
        <w:t>E. 7.2</w:t>
      </w:r>
    </w:p>
    <w:p>
      <w:r>
        <w:t>Soweit die Beschwerdeführerin in ihrer Beschwerdeschrift den Vorfall im Jahre 2014 nennt, als ihr Ehemann sie und die Kinder bedroht habe, ist festzuhalten, dass das Bundesverwaltungsgericht ihre schwierige Lage da- mals nicht verkennt. Ob, wie von ihr geltend gemacht wird, bis zum Erge- hen des Urteils keine Schutzmassnahmen gegenüber dem Ehemann an- geordnet worden sind, ist fraglich, gibt sie doch in der Beschwerde an an- derer Stelle an, dieser habe sich nicht an das Kontaktverbot gehalten. Zwar ist nicht auszuschliessen, dass der Beschwerdeführerin während eines</w:t>
      </w:r>
    </w:p>
    <w:p>
      <w:r>
        <w:t>E-4982/2025 Seite 8 Zeitraums bis zum Ergehen des Urteils keine Schutzmassnahmen zuteil- wurden, jedoch könnte dies auf den Umstand zurückzuführen sein, dass sie sich gemäss Begründung des Urteils des (…) Einzelgerichts in Strafsa- chen von F._______ vom (…) 2015 damals im Laufe des Verfahrens mit ihrem Ehemann versöhnt und deshalb auch den Strafantrag zurückgezo- gen hat. Es mag zwar sein, dass eine bedingt ausgesprochene respektive aufgeschobene Strafe keine grosse Abschreckungswirkung hat. Allerdings darf davon ausgegangen werden, dass die türkischen Behörden bei einem Wiederholungstäter härtere Strafen aussprechen respektive auf einen Auf- schub der Strafe verzichten würden. Das Vorbringen der Beschwerdefüh- rerin, ihr Ehemann habe Straflosigkeit genossen, wird durch seine Verur- teilung durch das (…). Einzelgericht in Strafsachen von F._______ vom (…) 2015 widerlegt. Ausgeräumt wird damit auch ihre Befürchtung, dass sie aufgrund ihres familiären Hintergrunds oder ihres Familiennamens kei- nen Schutz erhalten sollte. Im Zusammenhang mit den Übergriffen nach dem Vorfall von 2014 brachte die Beschwerdeführerin anlässlich der Anhö- rung vor, damals habe sie ihren Ehemann schon deshalb nicht anzeigen können, weil er ansonsten gegen ihren Bruder ausgesagt hätte (SEM-Ak- ten […]-17 [nachfolgend: A17] F72). Ausserdem habe sie mehrmals die Po- lizei alarmiert, die nicht oder zu spät gekommen sei, und den Ort jeweils verlassen habe, nachdem ihr Ehemann seine AKP-Parteikarte vorgezeigt habe. An eine gemeinnützige Organisation oder ein Frauenhaus habe sie sich nicht gewandt, weil dies nichts gebracht hätte (A17 F115). Dem ent- gegen stehen ihre Ausführungen in der Beschwerdeschrift, die Polizei habe ihre Anzeigen nicht ernst genommen und in den Frauenhäusern sei ihr mit- geteilt worden, es gebe keinen Platz. Mit dem SEM ist daher davon auszu- gehen, dass die Beschwerdeführerin die Vorfälle nach 2014 nicht zur An- zeige gebracht hat. Trotz der geltend gemachten drohenden Repression durch ihren Ehemann wäre es der Beschwerdeführerin zuzumuten gewe- sen, nötigenfalls mit der Hilfe eines Anwaltes und allenfalls in einem ande- ren Polizeirevier Anzeige zu erstatten, dies nachdem ihr Bruder bereits ver- urteilt worden sei (A17 F111) und spätestens nachdem die gemeinsamen Söhne die Volljährigkeit erlangt haben (vgl. A17 F114). An die türkischen Behörden zu wenden haben wird sich die Beschwerdeführerin auch hin- sichtlich der geltend gemachten Drohung ihres Ehemannes, wonach er sie töten würde, sollte sie ihn erneut verlassen. Gemäss Rechtsprechung des Bundesverwaltungsgerichts ist davon auszugehen, dass die türkischen Be- hörden bezüglich potenzieller, innerfamiliärer Übergriffe sowohl schutzfä- hig als auch schutzwillig sind (vgl. statt vieler: Urteil des BVGer D-235/2024 vom 19. Dezember 2024 E. 6.4 m.w.H.). Das SEM hat somit aufgrund der Subsidiarität des flüchtlingsrechtlichen Schutzes zu Recht die</w:t>
      </w:r>
    </w:p>
    <w:p>
      <w:r>
        <w:t>E-4982/2025 Seite 9 Flüchtlingseigenschaft der Beschwerdeführerin verneint und ihr Asylge- 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Nachdem die Beschwerdeführerin die Flüchtlingseigenschaft nicht erfüllt, findet der in Art. 5 AsylG, Art. 25 Abs. 2 BV und Art. 33 Abs. 1 des Abkom- mens vom 28. Juli 1951 über die Rechtsstellung der Flüchtlinge [FK, SR 0.142.30]) verankerte Grundsatz der flüchtlingsrechtlichen Nichtrück- schiebung keine Anwendung. Sodann ergeben sich weder aus den Aussa- gen der Beschwerdeführerin noch aus den Akten Anhaltspunkte dafür, dass sie für den Fall einer Ausschaffung in den Heimatstaat dort mit be- achtlicher Wahrscheinlichkeit einer nach Art. 3 EMRK oder Art. 1 des Über- einkommens vom 10. Dezember 1984 gegen Folter und andere grausame, unmenschliche oder erniedrigende Behandlung oder Strafe (FoK,</w:t>
      </w:r>
    </w:p>
    <w:p>
      <w:r>
        <w:t>E-4982/2025 Seite 10 SR 0.105) verbotenen Strafe oder Behandlung ausgesetzt wäre. Gemäss der Praxis des Europäischen Gerichtshofes für Menschenrechte (EGMR) sowie jener des UN-Anti-Folterausschusses müsste die Beschwerdeführe- rin eine konkrete Gefahr ("real risk") nachweisen oder glaubhaft machen, dass ihr im Fall einer Rückschiebung Folter oder unmenschliche Behand- lung drohen würden (vgl. Urteil des EGMR Saadi gegen Italien vom 28. Februar 2008, Grosse Kammer 37201/06, §§ 124–127 m.w.H.). Dies gelingt ihr nicht. Da auch die allgemeine Menschenrechtssituation in der Türkei den Wegweisungsvollzug zum heutigen Zeitpunkt nicht als unzuläs- sig erscheinen lässt, erweist sich der angeordnete Vollzug der Wegwei- sung auch im Sinne der völkerrechtlichen Bestimmung als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Das SEM hält in der angefochtenen Verfügung im Wesentlichen fest, die Beschwerdeführerin sei grundsätzlich gesund und in arbeitsfähigem Al- ter, wobei sie mehrere Jahre Erfahrung (…) vorweisen könne. Ihre Ge- schwister lebten in der Türkei und insbesondere zu ihren Schwestern pflege sie ein gutes Verhältnis. Aufgrund ihres sozialen Netzes sei eine so- ziale und wirtschaftliche Reintegration möglich. Ferner würden sie ihre bei- den Söhne bei Bedarf unterstützen, so wie sie es in der Vergangenheit bereits getan hätten. Was die gesundheitliche Verfassung der Beschwer- deführerin betreffe, seien psychische Erkrankungen in der Türkei sowohl ambulant als auch stationär behandelbar.</w:t>
      </w:r>
    </w:p>
    <w:p>
      <w:r>
        <w:rPr>
          <w:b/>
        </w:rPr>
        <w:t>E. 9.3.3</w:t>
      </w:r>
    </w:p>
    <w:p>
      <w:r>
        <w:t>Auch das Gericht kommt zum Schluss, dass der Vollzug der Wegwei- sung zumutbar ist. Auf die ausführlichen vorinstanzlichen Erwägungen in der angefochtenen Verfügung kann vollumfänglich verwiesen werden (ebd. III., Ziff. 2). Soweit die Beschwerdeführerin in ihrer Beschwerde vor- bringt, sie sei psychisch am Ende, könne nicht schlafen und habe keine Kraft zum Leben, ist ergänzend anzuführen, dass auch eine allfällige Sui- zidalität einem Wegweisungsvollzug praxisgemäss nicht entgegensteht, solange konkrete Massnahmen zur Verhütung der Umsetzung einer ent- sprechenden Drohung getroffen werden (vgl. BGE 139 II 393 E. 5.2.2;Ur- teil des BGer 2C_856/2015 vom 10. Oktober 2015 E. 3 m.w.H.; Urteil des</w:t>
      </w:r>
    </w:p>
    <w:p>
      <w:r>
        <w:t>E-4982/2025 Seite 11 BVGer D-2644/2021 vom 28. Januar 2022 E. 7.3.4.6). Allfälligen suizidalen Tendenzen im Hinblick auf einen zwangsweisen Wegweisungsvollzug ist durch geeignete medizinische Massnahmen und Betreuung entgegenzu- wirken.</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und der diesbezügliche Antrag der Beschwerdeführerin ist abzuweisen.</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Mit vorliegendem Entscheid wird das Gesuch um Verzicht auf die Er- hebung eines Kostenvorschusses gegenstandslos. Das Gesuch um Ge- währung der unentgeltlichen Prozessführung im Sinne von Art. 65 Abs. 1 VwVG ist abzuweisen, da die Begehren – wie sich aus den vorstehenden Erwägungen ergibt – als aussichtslos zu bezeichnen waren. Entsprechend dem Verfahrensausgang sind die Kosten der Beschwerdeführerin aufzuer- legen (Art. 63 Abs. 1 VwVG) und praxisgemäss auf insgesamt Fr. 750.– festzusetzen (Art. 1–3 des Reglements vom 21. Februar 2008 über die Kosten und Entschädigungen vor dem Bundesverwaltungsgericht [VGKE, SR 173.320.2]).</w:t>
      </w:r>
    </w:p>
    <w:p>
      <w:r>
        <w:rPr>
          <w:b/>
        </w:rPr>
        <w:t>E. 11.2</w:t>
      </w:r>
    </w:p>
    <w:p>
      <w:r>
        <w:t>Nachdem der Beschwerdeführerin die unentgeltliche Prozessführung nicht zu gewähren ist, ist auch ihr Gesuch um Beigabe einer amtlichen Rechtsbeiständin oder eines amtlichen Rechtsbeistandes abzuweisen (Art. 102m Abs. 1 AsylG).</w:t>
      </w:r>
    </w:p>
    <w:p>
      <w:r>
        <w:t>(Dispositiv nächste Seite)</w:t>
      </w:r>
    </w:p>
    <w:p>
      <w:r>
        <w:t>E-4982/2025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