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E-4982/2020 vom 15. Januar 2021</w:t>
      </w:r>
    </w:p>
    <w:p>
      <w:r>
        <w:t>Bundesverwaltungsgericht, 2021-01-15, DE</w:t>
      </w:r>
    </w:p>
    <w:p>
      <w:r>
        <w:rPr>
          <w:b/>
        </w:rPr>
        <w:t xml:space="preserve">Quelle: </w:t>
      </w:r>
      <w:r>
        <w:t>https://mcp.opencaselaw.ch/entscheid/bvger_E-4982_2020</w:t>
      </w:r>
    </w:p>
    <w:p>
      <w:r>
        <w:t>FR: TAF E-4982/2020 du 15 janvier 2021</w:t>
      </w:r>
    </w:p>
    <w:p>
      <w:r>
        <w:t>IT: TAF E-4982/2020 del 15 gennaio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4.1</w:t>
      </w:r>
    </w:p>
    <w:p>
      <w:r>
        <w:t>Die Vorinstanz kam in der angefochtenen Verfügung zum Schluss, die von den Beschwerdeführenden geltend gemachten Nachteile seien flüchtlingsrechtlich nicht relevant, weshalb ihre Asylvorbringen den Anforderungen an die Flüchtlingseigenschaft gemäss Art. 3 AsylG nicht standhielten.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die Antragsteller Zugang zu diesem Schutz hätten. Die Flüchtlingseigenschaft setze weiter voraus, dass der geltend gemachten Verfolgung oder einer allfälligen staatlichen Schutzverweigerung ein flüchtlingsrechtlich relevantes Motiv gemäss Art. 3 Abs. 1 AsylG zugrunde liege. Flüchtlingsrechtlich relevant werde eine Verfolgung dann, wenn diese wegen eines in der Person liegenden Merkmals, das untrennbar mit ihrer Persönlichkeit verbunden sei, erfolge, mithin in diskriminierender Weise an ein persönliches Merkmal, das sie "andersartig" mache, anknüpfe.</w:t>
      </w:r>
    </w:p>
    <w:p>
      <w:r>
        <w:rPr>
          <w:b/>
        </w:rPr>
        <w:t>E. 4.2</w:t>
      </w:r>
    </w:p>
    <w:p>
      <w:r>
        <w:t>Die Beschwerdeführenden hätten geltend gemacht, sie seien wegen einer Blutfehde aus Albanien ausgereist. Zudem habe die Beschwerdeführerin Probleme mit ihrem Vater. Die geltend gemachten Nachteile gingen offenkundig nicht vom albanischen Staat, sondern insbesondere von den Angehörigen einer den Beschwerdeführenden feindlich gesinnten Familie aus. Grundsätzlich sei davon auszugehen, dass der albanische Staat seiner Schutzpflicht bei geltend gemachter Bedrohung beziehungsweise Verfolgung im Kontext der Blutrache im Rahmen seiner Möglichkeiten nachgehe. Zudem versuchten das Nationale Versöhnungskomitee und andere Vermittler, bei Blutfehden zwischen den verfeindeten Familien zu schlichten. In der Tat sei aber kein Staat in der Lage, die Sicherheit seiner Bürgerinnen und Bürger im Falle von Übergriffen durch Drittpersonen vollumfänglich zu gewährleisten. Daraus könne jedoch nicht geschlossen werden, dass das Ersuchen um staatlichen Schutz von vornherein ein nutzloses Unterfangen sei oder der albanische Staat seiner Schutzpflicht grundsätzlich nicht nachkomme. Die befürchteten Übergriffe seitens der gegnerischen Familie stellten auch in Albanien strafbare Handlungen dar, die von den zuständigen Strafverfolgungsbehörden im Rahmen ihrer Möglichkeiten verfolgt und geahndet würden. Die vagen Aussagen der Beschwerdeführenden - ein Bekannter oder Verwandter der Familie Z. sei Polizeichef - vermöchten den Schutzwillen der albanischen Behörden nicht in Frage zu stellen. Es sei ihnen daher möglich und zumutbar, sich bei konkreten Vorfällen oder Bedrohungen an die albanischen Behörden zu wenden und diese um Schutz vor Übergriffen zu ersuchen. Ferner seien weder ihren Aussagen noch den eingereichten Beweismitteln Anhaltspunkte für die Annahme zu entnehmen, dass sie aus einem flüchtlingsrechtlich relevanten Motiv Nachteile zu befürchten hätten.</w:t>
      </w:r>
    </w:p>
    <w:p>
      <w:r>
        <w:rPr>
          <w:b/>
        </w:rPr>
        <w:t>E. 4.3</w:t>
      </w:r>
    </w:p>
    <w:p>
      <w:r>
        <w:t>In der Beschwerde wird dem mit Verweis auf einen Bericht der Schweizerischen Flüchtlingshilfe entgegengehalten, die Beschwerdeführenden verfügten nicht über eine innerstaatliche Schutzalternative. Der albanische Staat unternehme nicht genug, um Personen, die in Blutfehden involviert seien, zu beschützen und die Täter strafrechtlich zu verfolgen. Der behördlich garantierte Schutz sei unzureichend. Traditionell seien Frauen und Kinder von der Blutrache nicht betroffen gewesen. Inzwischen seien aber auch sie Opfer von Blutrache. Dies stimme mit den Angaben der Beschwerdeführerin überein, dass sie manchmal das Haus nicht habe verlassen und nicht zur Schule habe gehen können. Die Situation der Beschwerdeführenden sei deshalb erneut zu überprüfen und ihnen Schutz zu gewähren.</w:t>
      </w:r>
    </w:p>
    <w:p>
      <w:r>
        <w:rPr>
          <w:b/>
        </w:rPr>
        <w:t>E. 5.1</w:t>
      </w:r>
    </w:p>
    <w:p>
      <w:r>
        <w:t>Das Bundesverwaltungsgericht gelangt vorliegend zum Schluss, die Vorinstanz sei zu Recht davon ausgegangen, dass die Vorbringen der Beschwerdeführenden den Anforderungen an die Flüchtlingseigenschaft nicht zu genügen vermögen. Sie machen eine von Privatpersonen ausgehende Verfolgung geltend. Damit handelt es sich nicht um eine asylrechtlich relevante Verfolgung im Sinne von Art. 3 Abs. 1 AsylG, welche die Flüchtlingseigenschaft zu begründen vermöchte. Zum einen fehlt es bei einer privaten Blutfehde am Erfordernis der flüchtlingsrechtlich relevanten Verfolgungsmotivation, weil diese nicht aus einem in Art. 3 Abs. 1 AsylG genannten Grund erfolgt. Zum andern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S. 173 ff., 2008/4 E. 5.2 S. 37 f.). Bei Albanien handelt es sich um einen verfolgungssicheren 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statt vieler zuletzt Urteil des BVGer D-179/2019 vom 5. Juni 2020). Den Beschwerdeführenden ist es nicht gelungen, diese Vermutung umzustossen. Es liegen keine Hinweise dafür vor, dass die Behörden nicht willens und in der Lage gewesen wären, ihnen Schutz zu bieten. Gemäss ihren Angaben war es die Entscheidung des Beschwerdeführers, nach seinem Unfall und der entsprechenden Anzeige bei der Polizei, diese nicht weiterzuverfolgen. Es gibt keinen Grund anzunehmen, die Beschwerdeführenden könnten nicht auch künftig, nach ihrer Rückkehr in den Heimatstaat, den Schutz der albanischen Behörden in Anspruch nehmen. Festzuhalten ist dazu, dass von einem Staat nicht eine faktische Garantie für einen langfristigen individuellen Schutz der von nichtstaatlicher Verfolgung bedrohten Personen zu verlangen ist, weil es keinem Staat gelingen kann, die absolute Sicherheit seiner Bürgerinnen und Bürger jederzeit und überall zu garantieren (vgl. BVGE 2011/51 E. 7.3 m.w.H.). Die eingereichten Beweismittel vermögen an dieser Einschätzung nichts zu ändern, da weder seitens der Vorinstanz noch des Gerichts in Frage gestellt wird, dass die Familie der Beschwerdeführerin in eine Blutfehde verwickelt ist.</w:t>
      </w:r>
    </w:p>
    <w:p>
      <w:r>
        <w:rPr>
          <w:b/>
        </w:rPr>
        <w:t>E. 5.2</w:t>
      </w:r>
    </w:p>
    <w:p>
      <w:r>
        <w:t>Die Vorinstanz hat die Flüchtlingseigenschaft der Beschwerdeführenden zu Recht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in der angefochtenen Verfügung zutreffend erkannt, dass der in Art. 5 AsylG verankerte Grundsatz der Nichtrückschiebung mangels Erfüllung der Flüchtlingseigenschaft keine Anwendung findet und sich aus den Akten keine Anhaltspunkte dafür ergeben, den Beschwerdeführenden würde im Falle einer Rückkehr nach Albanien mit beachtlicher Wahrscheinlichkeit eine durch Art. 3 EMRK verbotene Strafe oder Behandlung drohen. Der Vollzug der Wegweisung ist zulässig.</w:t>
      </w:r>
    </w:p>
    <w:p>
      <w:r>
        <w:rPr>
          <w:b/>
        </w:rPr>
        <w:t>E. 7.3</w:t>
      </w:r>
    </w:p>
    <w:p>
      <w:r>
        <w:t>Die Vorinstanz hielt ebenso zutreffend fest, weder die herrschende politische Situation noch andere Gründe würden gegen die Zumutbarkeit einer Rückkehr nach Albanien sprechen.</w:t>
      </w:r>
    </w:p>
    <w:p>
      <w:r>
        <w:rPr>
          <w:b/>
        </w:rPr>
        <w:t>E. 7.3.1</w:t>
      </w:r>
    </w:p>
    <w:p>
      <w:r>
        <w:t>In der Beschwerde wurde dargetan, es sei wegen des albanischen Gesundheitssystems nicht garantiert, dass die Tochter in Albanien die Möglichkeilt habe, die für ihre Erkrankung notwendigen Behandlungen zu erhalten.</w:t>
      </w:r>
    </w:p>
    <w:p>
      <w:r>
        <w:rPr>
          <w:b/>
        </w:rPr>
        <w:t>E. 7.3.2</w:t>
      </w:r>
    </w:p>
    <w:p>
      <w:r>
        <w:t>Dem ärztlichen Bericht (vom 22. September 2020) ist zu entnehmen, dass die Behandlung von C._______ als abgeschlossen beurteilt wird. Indes sei sie auf regelmässige Nachkontrollen angewiesen. Die Vorinstanz führte in ihrer Vernehmlassung unter Hinweis auf zwei Berichte (SEM Focus Albanien, Medizinische Grundversorgung, ALB-medgrundversorgung-d, S. 18 &lt;https://www.sem.admin.ch&gt;; Ärzteblatt.de, Themen der Zeit, Albanien: Medizin ist eine Frage des Geldes «https://www.aerzteblatt.de/archiv/179471/Albanien-Medizin-ist-eine-Frage-des-Geldes»; beide abgerufen am 8.12.2020) aus, es sei davon auszugehen, dass die notwendigen Blut-, Urin- und Röntgenuntersuchungen im Regionalspital G._______ durchgeführt werden könnten. Sollte dies nicht möglich sein, könnten die Untersuchungen im Universitätsspital Tirana durchgeführt werden. Das Gericht schliesst sich diesen Erwägungen an. Es ist insbesondere auch darauf hinzuweisen, dass grundsätzlich alle Personen mit Wohnsitz in Albanien ein Anrecht auf medizinischen Dienstleistungen in öffentlichen Einrichtungen haben. (vgl. dazu Schweizerische Flüchtlingshilfe (SFH), Albanien: Behandlung von Hepatitis B, 14.03.2017, S. 3 &lt;https://www.fluechtlingshilfe.ch/fileadmin/user_upload/Publikationen/Herkunftslaenderberichte/Europa/Albanien/170314-alb-hepatitis-b-de.pdf&gt; abgerufen am 8.12.2020). Das Bundesverwaltungsgericht geht daher davon aus, dass die Tochter der Beschwerdeführenden in Albanien die Möglichkeit hat, eine adäquate medizinische Behandlung beziehungsweise die nötigen Kontrolluntersuchungen zu erhalten, und dass sie bei einer Rückkehr nicht in Gefahr geriete, einer ernsten, raschen und unwiederbringlichen Verschlechterung ihres Gesundheitszustandes ausgesetzt zu werden. Schliesslich ist zu wiederholen, dass im Rahmen der individuellen Rückkehrhilfe (vgl. Art. 93 Abs.1 Bst. d AsylG) den Beschwerdeführenden die Möglichkeit offensteht, medizinische Hilfeleistungen zu beantragen, wobei insbesondere an die notwendigen (...) Medikamente für die Tochter zu denken ist. Bei dieser Sachlage sind allfällige weitere Berichte über seither erfolgte Kontrolluntersuchungen (vgl. Replik S. 2) nicht abzuwarten, da sie an der Einschätzung nichts zu ändern vermöchten. Der Vollzug der Wegweisung der Beschwerdeführenden erweist sich als zumutbar.</w:t>
      </w:r>
    </w:p>
    <w:p>
      <w:r>
        <w:rPr>
          <w:b/>
        </w:rPr>
        <w:t>E. 7.4</w:t>
      </w:r>
    </w:p>
    <w:p>
      <w:r>
        <w:t>Die Beschwerdeführenden verfügen über gültige Reisepässe, weshalb der Vollzug der Wegweisung auch als möglich zu bezeichnen ist (Art. 83 Abs. 2 AIG). Es obliegt ihnen, bei der Beschaffung allenfalls erforderlicher weiterer Unterlagen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