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E-4981/2015 vom 10. September 2015</w:t>
      </w:r>
    </w:p>
    <w:p>
      <w:r>
        <w:t>Bundesverwaltungsgericht, 2015-09-10, DE</w:t>
      </w:r>
    </w:p>
    <w:p>
      <w:r>
        <w:rPr>
          <w:b/>
        </w:rPr>
        <w:t xml:space="preserve">Quelle: </w:t>
      </w:r>
      <w:r>
        <w:t>https://mcp.opencaselaw.ch/entscheid/bvger_E-4981_2015</w:t>
      </w:r>
    </w:p>
    <w:p>
      <w:r>
        <w:t>FR: TAF E-4981/2015 du 10 septembre 2015</w:t>
      </w:r>
    </w:p>
    <w:p>
      <w:r>
        <w:t>IT: TAF E-4981/2015 del 10 settembre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sowie die unrichtige oder unvollständige Feststellung des rechtserheblichen Sachverhalts (Art. 106 Abs. 1 AsylG). Keinen Rügegrund stellt gemäss dem seit 1. Februar 2014 geltenden Recht die Unangemessenheit dar (Art. 106 Abs. 1 Bst. c aAsylG).</w:t>
      </w:r>
    </w:p>
    <w:p>
      <w:r>
        <w:rPr>
          <w:b/>
        </w:rPr>
        <w:t>E. 3</w:t>
      </w:r>
    </w:p>
    <w:p>
      <w:r>
        <w:t>Die Beschwerde erweist sich als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a AsylG tritt das BFM auf ein Asylgesuch in der Regel nicht ein, wenn Asylsuchende in einen sicheren Drittstaat nach Art. 6a Abs. 2 Bst. b zurückkehren können, in welchem sie sich vorher aufgehalten haben.</w:t>
      </w:r>
    </w:p>
    <w:p>
      <w:r>
        <w:rPr>
          <w:b/>
        </w:rPr>
        <w:t>E. 5</w:t>
      </w:r>
    </w:p>
    <w:p>
      <w:r>
        <w:t>Die Vorinstanz stellt in der angefochtenen Verfügung fest, einerseits handle es sich bei Italien um einen sicheren Drittstaat, andererseits habe der Beschwerdeführer in Italien subsidiären Schutz erhalten und die zuständigen Behörden hätten der Rückübernahme zugestimmt. Es würden Anzeichen bestehen, dass der Beschwerdeführer die Bedingungen für eine vorläufige Aufnahme erfüllen würde, da er in Italien subsidiären Schutz erhalten habe. Für ein allfälliges Ersuchen um Wiedererwägung des Asylentscheides sei indes Italien zuständig. Dem Begehren um Feststellung der Flüchtlingseigenschaft oder von Wegweisungshindernissen in den Herkunfts- oder Heimatstaat in der Schweiz könne nur entsprochen werden, wenn ein schutzwürdiges Interesse nachgewiesen werde. Dieser Nachweis könne nicht gelingen, wenn bereits ein Drittstaat einen Schutzstatus erteilt habe. Da der Beschwerdeführer über einen subsidiären Schutzstatus verfüge, könne er nach Italien zurückkehren, ohne eine Rückschiebung in Verletzung des Non-Refoulement-Prinzips zu befürchten.</w:t>
      </w:r>
    </w:p>
    <w:p>
      <w:r>
        <w:rPr>
          <w:b/>
        </w:rPr>
        <w:t>E. 6</w:t>
      </w:r>
    </w:p>
    <w:p>
      <w:r>
        <w:t>Dass es sich bei Italien um einen verfolgungssicheren Drittstaat handelt, in welchem der Beschwerdeführer subsidiären Schutz erhalten hat und ihm eine Aufenthaltsbewilligung erteilt wurde, wird in der Rechtsmitteleingabe zu Recht nicht in Frage gestellt. Ebenfalls zu Recht macht der Beschwerdeführer nicht geltend, die Vorinstanz habe fälschlicherweise ein schutzwürdiges Interesse an die Feststellung des Schutzstatus verneint. Die Vorinstanz ist daher mit zutreffender Begründung auf das Asylgesuch nicht eingetreten.</w:t>
      </w:r>
    </w:p>
    <w:p>
      <w:r>
        <w:rPr>
          <w:b/>
        </w:rPr>
        <w:t>E. 7.1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7.2</w:t>
      </w:r>
    </w:p>
    <w:p>
      <w:r>
        <w:t>In der Rechtsmitteleingabe macht der Beschwerdeführer geltend, seine Ehefrau und seine Kinder hätten einen festen Rechtsanspruch auf eine Aufenthaltsbewilligung in der Schweiz. Sie seien am 1. Mai 2014 als Flüchtlinge anerkannt worden. Ihnen sei Asyl erteilt worden und sie seien im Besitze von Aufenthaltsbewilligungen B. Zwischen ihm und seiner Frau sowie den gemeinsamen Kindern bestehe eine tatsächlich gelebte Beziehung. Er sei bereit, sich einem DNA-Test zu unterziehen. Seine Frau erwarte das dritte Kind von ihm. Der vorinstanzliche Entscheid verletze Art. 8 EMRK.</w:t>
      </w:r>
    </w:p>
    <w:p>
      <w:r>
        <w:rPr>
          <w:b/>
        </w:rPr>
        <w:t>E. 7.3</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Urteil des BVGer D-1551/2013 vom 2. Mai 2013 E. 5.1, mit Verweisen). Der Beschwerdeführer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7.4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Bundesgerichts 2C_634/2011 vom 27. Juni 2012 E. 4.2.2). Der sich hier aufhaltende Familienangehörige bzw. Konkubinatspartner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w:t>
      </w:r>
    </w:p>
    <w:p>
      <w:r>
        <w:rPr>
          <w:b/>
        </w:rPr>
        <w:t>E. 7.5</w:t>
      </w:r>
    </w:p>
    <w:p>
      <w:r>
        <w:t>Aufgrund der Akten ergibt sich, dass die Ehefrau und Kinder des Beschwerdeführers über Aufenthaltsbewilligungen B verfügen (Akten Vor-instanz A25/10). Unter Hinweis auf die eingereichten Beweismittel macht der Beschwerdeführer weiter eine nahe, echte und gelebte Beziehung geltend. Er kann sich somit grundsätzlich auf Art. 8 EMRK berufen. Die Vorfrage ist damit zu bejahen, wobei die konkrete Beurteilung des Anspruchs nicht mehr Sache des Bundesverwaltungsgerichts ist. Am 1. September 2015 hat der Beschwerdeführer beim Migrationsamt des Kantons D._______ ein Gesuch um Erteilung einer Aufenthaltsbewilligung eingereicht. Damit liegt die Zuständigkeit zum Entscheid über eine Wegweisung und deren allfälligen Vollzug bei der kantonalen Migrationsbehörde.</w:t>
      </w:r>
    </w:p>
    <w:p>
      <w:r>
        <w:rPr>
          <w:b/>
        </w:rPr>
        <w:t>E. 7.6</w:t>
      </w:r>
    </w:p>
    <w:p>
      <w:r>
        <w:t>Die im Asylverfahren angeordnete Wegweisung wird praxisgemäss aufgehoben, wenn ein grundsätzlicher Anspruch gestützt auf Art. 8 EMRK vorfrageweise bejaht wird (vgl. BVGE 2013/37 E. 4.4.2, vgl. auch Urteil des BVGer D-5547/2008 vom 16. März 2011, mit Verweis). Damit erübrigen sich weitere Ausführungen zur Durchführbarkeit des Wegweisungsvollzuges; allfällige Wegweisungshindernisse sind durch die kantonale Migrationsbehörde zu prüfen.</w:t>
      </w:r>
    </w:p>
    <w:p>
      <w:r>
        <w:rPr>
          <w:b/>
        </w:rPr>
        <w:t>E. 8</w:t>
      </w:r>
    </w:p>
    <w:p>
      <w:r>
        <w:t>Aus den vorstehenden Erwägungen ergibt sich, dass die Verfügung vom 5. August 2015 bezüglich der Ziffer 2 des Dispositivs (verfügte Wegweisung) aufzuheben ist. Weitergehend ist die Beschwerde betreffend der Ziffer 1 des Dispositivs (Nichteintreten auf das Asylgesuch) abzuweisen, soweit sie nicht betreffend der Ziffern 3 und 4 des Dispositivs (Vollzug der Wegweisung) gegenstandslos geworden ist.</w:t>
      </w:r>
    </w:p>
    <w:p>
      <w:r>
        <w:rPr>
          <w:b/>
        </w:rPr>
        <w:t>E. 9.1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Akten ist von der Mittellosigkeit des nicht erwerbstätigen Beschwerdeführers auszugehen. Sodann können seine Begehren aufgrund der vorstehenden Erwägungen nicht als aussichtslos bezeichnet werden. Das Gesuch um Gewährung der unentgeltlichen Prozessführung ist gutzuheissen. Es werden keine Verfahrenskosten erhoben.</w:t>
      </w:r>
    </w:p>
    <w:p>
      <w:r>
        <w:rPr>
          <w:b/>
        </w:rPr>
        <w:t>E. 9.2</w:t>
      </w:r>
    </w:p>
    <w:p>
      <w:r>
        <w:t>Dem nicht vertretenen Beschwerdeführer sind aus dem vorliegenden Verfahren keine verhältnismässig hohen Kosten erwachsen,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