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E-4981/2008 vom 4. November 2010</w:t>
      </w:r>
    </w:p>
    <w:p>
      <w:r>
        <w:t>Bundesverwaltungsgericht, 2010-11-04, DE</w:t>
      </w:r>
    </w:p>
    <w:p>
      <w:r>
        <w:rPr>
          <w:b/>
        </w:rPr>
        <w:t xml:space="preserve">Quelle: </w:t>
      </w:r>
      <w:r>
        <w:t>https://mcp.opencaselaw.ch/entscheid/bvger_E-4981_2008</w:t>
      </w:r>
    </w:p>
    <w:p>
      <w:r>
        <w:t>FR: TAF E-4981/2008 du 4 novembre 2010</w:t>
      </w:r>
    </w:p>
    <w:p>
      <w:r>
        <w:t>IT: TAF E-4981/2008 del 4 novembre 2010</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Am 1. Januar 2008 trat das AuG in Kraft und gleichzeitig wurde das ANAG aufgehoben. Gemäss Art. 126a Abs. 4 AuG gilt - unter Vorbe-halt der Absätze 5-7 - für Personen, die im Zeitpunkt des Inkrafttretens der am 16. Dezember 2005 beschlossenen Änderung des Asylge-setzes sowie des AuG vorläufig aufgenommen sind, neues Recht. Der Beschwerdeführer wurde vom BFM mit Verfügung vom 23. April 1999 vorläufig aufgenommen, und demnach ist das Vorliegen der Vorausset-zungen für die Aufhebung der vorläufigen Aufnahme nach neuem Recht, mithin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Drittstaat zu begeben.</w:t>
      </w:r>
    </w:p>
    <w:p>
      <w:r>
        <w:rPr>
          <w:b/>
        </w:rPr>
        <w:t>E. 5.1</w:t>
      </w:r>
    </w:p>
    <w:p>
      <w:r>
        <w:t>Ist der Vollzug der Wegweisung nicht zulässig, nicht zumutbar oder nicht möglich, so regelt das Bundesamt das Anwesenheitsver-hältnis nach den gesetzlichen Bestimmungen über die vorläufige Auf-nahme von Ausländern (Art. 83 Abs. 1 AuG).</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konkrete Anhaltspunkte dafür, dass er für den Fall einer Ausschaffung in den Nordirak dort mit beachtlicher Wahr-scheinlichkeit einer nach Art. 3 EMRK oder Art. 1 FoK verbotenen Strafe oder Behandlung ausgesetzt wäre. Bei den Vorbringen des Be-schwerdeführers handelt es sich zum grössten Teil um nicht überprüf-bare Behauptungen. Zudem ist darauf hinzuweisen, dass nach Ein-schätzung des Gerichts die Behörden im Nordirak grundsätzlich in der Lage und willens sind, Schutz vor Verfolgung zu gewähren (BVGE 2008/4 E. 6 S. 40 ff.), und der Beschwerdeführer demnach nicht auf den Schutz der Schweiz angewiesen ist. Auch die allgemeine Menschenrechtssituation im Nordirak lässt den Wegweisungsvollzug zum heutigen Zeitpunkt nicht als unzulässig erscheinen. Nach dem Gesagten ist der Vollzug der Wegweisung sowohl im Sinne der asyl- als auch der völkerrechtlichen Bestimmungen zulässig.</w:t>
      </w:r>
    </w:p>
    <w:p>
      <w:r>
        <w:rPr>
          <w:b/>
        </w:rPr>
        <w:t>E. 5.4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 ist in seinem Grundsatzurteil BVGE 2008/5 vom 14. März 2008 aufgrund einer umfassenden Beurteilung der Situation in den nordirakischen Provinzen Dohuk, Suleimaniya und Erbil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Das Bundesverwaltungsgericht erachtet die Anordnung des Wegweisungs-vollzugs für alleinstehende, junge und gesunde Männer, welche aus einer der drei genannten Provinzen stammen oder eine längere Zeit dort gelebt haben und dort nach wie vor über ein soziales Netz oder Parteibeziehungen verfügen, als in der Regel zumutbar (vgl. BVGE 2008/5 E. 7.5, insbes. E 7.5.8 S. 65 ff.). Der Beschwerdeführer stammt aus Y._____ und hatte seinen letzten Wohnsitz in F._____ in der Provinz Suleimaniya. Er gibt zwar in seiner Replik vom 3. November 2009 an, in seinem Heimatland kein trag-fähiges Beziehungsnetz mehr zu besitzen, doch beschränkt sich die diesbezügliche Auflistung auf seine Eltern und seine Geschwister, und es besteht keine Klarheit bezüglich von Verwandten und Freunden. Hinzu kommt, dass - was vorliegend nicht ohne Bedeutung und irgend-wie auch bezeichnend ist - der Beschwerdeführer dem Gericht am 23. Juli 2010 mitteilte, er könne die in Aussicht gestellten Dokumente (Original der irakischen Todesbescheinigung bezüglich seiner Mutter und Wohnsitzbescheinigungen seiner beiden in der Türkei wohnhaften Schwestern) nicht beibringen. Seine Erklärung, die Bezugsperson sei telefonisch nicht erreichbar und andere Kontakte zum Heimatland habe er nicht, vermögen in keiner Art und Weise zu überzeugen. In Anbetracht dieser Umstände sowie seines Alters (Jg. 1978) und des gemäss Aktenlage offenbar guten Gesundheitszustandes kann davon ausgegangen werden, dass er sich in seiner Heimat wieder integrieren kann.</w:t>
      </w:r>
    </w:p>
    <w:p>
      <w:r>
        <w:rPr>
          <w:b/>
        </w:rPr>
        <w:t>E. 5.5</w:t>
      </w:r>
    </w:p>
    <w:p>
      <w:r>
        <w:t>Was sodann die wiederholt geltend gemachte langjährige An-wesenheit in der Schweiz und die behauptete gute Integration anbe-langt, so kann sich das Bundesverwaltungsgericht auf den Hinweis be-schränken, dass diese Fragen nicht mehr im Rahmen des Asylverfah-rens geprüft werden, sondern in die Zuständigkeit der kantonalen Be-hörden fallen (Art. 14 Abs. 2 AsylG), an welche sich der Beschwer-deführer denn auch schon wiederholt gewandt hat und wo ein ent-sprechendes Verfahren hängig ist.</w:t>
      </w:r>
    </w:p>
    <w:p>
      <w:r>
        <w:rPr>
          <w:b/>
        </w:rPr>
        <w:t>E. 5.6</w:t>
      </w:r>
    </w:p>
    <w:p>
      <w:r>
        <w:t>Gestützt auf die vorstehenden Erwägungen ist der Vollzug der Wegweisung im heutigen Zeitpunkt demnach sowohl in genereller als auch in individueller Hinsicht als zumutbar zu erachten.</w:t>
      </w:r>
    </w:p>
    <w:p>
      <w:r>
        <w:rPr>
          <w:b/>
        </w:rPr>
        <w:t>E. 5.7</w:t>
      </w:r>
    </w:p>
    <w:p>
      <w:r>
        <w:t>Schliesslich obliegt es dem Beschwerdeführer, sich nötigenfalls bei der zuständigen Vertretung des Heimatstaates die für eine Rück-kehr notwendigen Reisedokumente zu beschaffen (Art. 8 Abs. 4 AsylG), weshalb der Vollzug der Wegweisung auch als möglich zu be-zeichnen ist (Art. 83 Abs. 2 AuG).</w:t>
      </w:r>
    </w:p>
    <w:p>
      <w:r>
        <w:rPr>
          <w:b/>
        </w:rPr>
        <w:t>E. 6</w:t>
      </w:r>
    </w:p>
    <w:p>
      <w:r>
        <w:t>Insgesamt ist der durch das BFM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112 Abs. 1 AuG i.V.m. Art. 49 VwVG).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Dieser Betrag wird mit dem in gleicher Höhe geleisteten Kostenvorschuss verrechnet.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