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E-497/2020 vom 3. Juli 2023</w:t>
      </w:r>
    </w:p>
    <w:p>
      <w:r>
        <w:t>Bundesverwaltungsgericht, 2023-07-03, DE</w:t>
      </w:r>
    </w:p>
    <w:p>
      <w:r>
        <w:rPr>
          <w:b/>
        </w:rPr>
        <w:t xml:space="preserve">Quelle: </w:t>
      </w:r>
      <w:r>
        <w:t>https://mcp.opencaselaw.ch/entscheid/bvger_E-497_2020</w:t>
      </w:r>
    </w:p>
    <w:p>
      <w:r>
        <w:t>FR: TAF E-497/2020 du 3 juillet 2023</w:t>
      </w:r>
    </w:p>
    <w:p>
      <w:r>
        <w:t>IT: TAF E-497/2020 del 3 luglio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Den Prozessgegenstand des vorliegenden Verfahrens bildet der Antrag der Beschwerdeführerin um Einbezug in die Flüchtlingseigenschaft ihres Partners gemäss Art. 51 Abs. 1 AsylG (vgl. zur Beschränkung des Streit- gegenstandes statt vieler auch Urteil des Bundesverwaltungsgerichts E-6397/2020 vom 12. Januar 2021 E. 1.4).</w:t>
      </w:r>
    </w:p>
    <w:p>
      <w:r>
        <w:rPr>
          <w:b/>
        </w:rPr>
        <w:t>E. 4</w:t>
      </w:r>
    </w:p>
    <w:p>
      <w:r>
        <w:t>Das Bundesverwaltungsgericht hat sich in seinem Grundsatzurteil E-1813/2019 vom 1. Juli 2020 (publiziert als BVGE 2020 VI/6) mit der vor- liegend interessierenden Frage auseinandergesetzt, ob eine in einem ab- geschlossenen Asylverfahren begangene Mitwirkungspflichtverletzung ei- ner Person (tibetischer Ethnie), die um Familienasyl ersucht, vorgehalten werden kann. Diese Frage wurde – wie nachstehend aufgezeigt (E. 5.3 ff.) – bei Vorliegen gewisser Voraussetzungen bejaht.</w:t>
      </w:r>
    </w:p>
    <w:p>
      <w:r>
        <w:t>E-497/2020 Seite 6</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(BVGE 2019 VI/8 E. 4.1). Im Kontext des Familienbegriffs werden die ein- getragenen Partnerinnen und Partner sowie die in dauernder eheähnlicher Gemeinschaft zusammenlebenden Personen den Ehegatten gleichgestellt (vgl. Art. 1a Bst. e der Asylverordnung 1 vom 11. August 1999 [AsylV 1, SR 142.311]).</w:t>
      </w:r>
    </w:p>
    <w:p>
      <w:r>
        <w:rPr>
          <w:b/>
        </w:rPr>
        <w:t>E. 5.2</w:t>
      </w:r>
    </w:p>
    <w:p>
      <w:r>
        <w:t>Es steht ausser Frage, dass die sich in der Schweiz aufhaltende Be- schwerdeführerin zusammen mit ihrem in der Schweiz wohnhaften Ehe- mann eine Familie im Sinne von Art. 51 AsylG bildet. Gemäss den einge- reichten Zivilstandsregisterauszügen wurde ihre Ehe am (…) 2018 vor dem Zivilstandsamt E._______ geschlossen. Zu prüfen ist hingegen, ob die Feststellung im abgeschlossenen Asylver- fahren, die Beschwerdeführerin habe nicht glaubhaft machen können, in Tibet sozialisiert worden und chinesische Staatsangehörige zu sein, und damit ihre Nationalität verheimlicht (vgl. Akte SEM A36/10 S. 3 ff., insbe- sondere S. 5), einen "besonderen Umstand" im Sinne der erwähnten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w:t>
      </w:r>
    </w:p>
    <w:p>
      <w:r>
        <w:t>E-497/2020 Seite 7 In seinem Grundsatzurteil BVGE 2020 VI/6 eröffnet das Bundesverwal- tungsgericht Personen mit vermutungsweise chinesischer Staatsangehö- rigkeit, welche aber gemäss Einschätzung des SEM im vorhergehenden Asylverfahren in einer exiltibetischen Diaspora-Gemeinschaft hauptsozia- lisiert wurden, erneut die Möglichkeit, im Rahmen des Gesuchs um Fami- lienasyl nach Art. 51 Abs. 1 AsylG, Angaben zu ihrem wahren Hauptsozia- lisationsort zu liefern, um so das SEM in die Lage zu versetzen, zu prüfen, ob im zu beurteilenden Gesuch um Familienasyl besondere Umstände im Sinne des Art. 51 Abs. 1 AsylG vorliegen oder nicht. Das SEM trägt die Beweislast für diese Prüfung, kann diese jedoch nur vornehmen, wenn ge- nügend Angaben über den Ort vorliegen, an dem die einzubeziehende Per- son vor ihrer Einreise in die Schweiz ihren Lebensmittelpunkt hatte und wo ihre Hauptsozialisierung erfolgte (zum Beweisnotstand des SEM vgl. BVGE 2020 VI/6 E. 2.4 und 8.5). Nur so ist die Vorinstanz in der Lage, zu beurteilen, ob ein Aufenthalt in diesem Drittland für die ganze Familie hy- pothetisch zulässig, zumutbar und möglich wäre. Fehlen entsprechende Angaben, kann die Vorinstanz diese Frage nicht klären mit dem Ergebnis, dass die antragstellende Person die Folgen dieser qualifizierten Mitwir- kungspflichtverletzung auch im Verfahren um die Gewährung des Fami- lienasyls zu tragen hat, vorausgesetzt, ihr wurde dieser Umstand von der Vorinstanz erläutert und es wurde ihr das rechtliche Gehör gewährt (vgl. BVGE 2020 VI/6 E. 8.3.5, sowie 8.4-9.10, insbesondere 9.9 und 9.10).</w:t>
      </w:r>
    </w:p>
    <w:p>
      <w:r>
        <w:rPr>
          <w:b/>
        </w:rPr>
        <w:t>E. 5.5.1</w:t>
      </w:r>
    </w:p>
    <w:p>
      <w:r>
        <w:t>Mit ihrem Gesuch vom 9. Oktober 2019 um Einbezug in die Flücht- lingseigenschaft ihres Ehemannes legte die Beschwerdeführerin keine Do- kumente vor, welche ihre Staatsangehörigkeit oder den Ort ihrer Sozialisa- tion belegen oder darauf schliessen lassen würden (vgl. SEM-Akte […]-1/2 und 2/9). Das SEM gewährte der Beschwerdeführerin im Verfahren betreffend Fami- lienasyl daher mit Verfügung vom 17. Oktober 2019 das rechtliche Gehör zu seiner Auffassung, dass sie durch ihre im abgeschlossenen Asylverfah- ren begangene Mitwirkungspflichtverletzung eine Prüfung darüber, ob be- sondere Umstände im Sinne von Art. 51 Abs. 1 AsylG vorliegen würden, verunmögliche. Es eröffnete der Beschwerdeführerin in der Folge die Mög- lichkeit, innert Frist ihre tatsächliche Herkunft offenzulegen und überprüf- bare Angaben zum Lebenslauf zu machen, insbesondere die letzten Woh- nadressen im Heimat- respektive Herkunftsstaat, den Aufenthaltsstatus, den letzten Arbeitgeber sowie Schulbesuche etc. darzulegen. Als allfällige negative Rechtsfolge nannte das SEM die Abweisung des Gesuchs um</w:t>
      </w:r>
    </w:p>
    <w:p>
      <w:r>
        <w:t>E-497/2020 Seite 8 Einbezug in die Flüchtlingseigenschaft des Lebenspartners (vgl. SEM-Akte A3, S. 2). Dieses Vorgehen des SEM entsprach somit den zuvor erwähnten Anforde- rungen gemäss BVGE 2020 VI/6.</w:t>
      </w:r>
    </w:p>
    <w:p>
      <w:r>
        <w:rPr>
          <w:b/>
        </w:rPr>
        <w:t>E. 5.5.2</w:t>
      </w:r>
    </w:p>
    <w:p>
      <w:r>
        <w:t>In ihrer Antwort vom 31. Oktober 2019 erklärte die Beschwerdeführe- rin, es würden vorliegend keine klaren Hinweise auf besondere Umstände im Sinne von Art. 51 Abs. 1 AsylG vorliegen. Ihre tibetische Ethnie sei un- bestritten. Bei einer Rückkehr nach China müsse sie alleine wegen ihrer tibetischen Herkunft und aufgrund ihrer Partnerschaft mit einem anerkann- ten tibetischen Flüchtling Verfolgung befürchten. Die Beweislast für das Vorliegen besonderer Umstände liege bei der Vorinstanz, weshalb diese die Folgen der Beweislosigkeit zu tragen habe. Die vom SEM in seiner Ver- fügung vom 17. Oktober 2019 (zum rechtlichen Gehör) zitierten Urteile seien nicht einschlägig und mit dem vorliegenden Verfahren vergleichbar. Dem Eheregisterauszug sei zu entnehmen, dass die Beschwerdeführerin mit ihrem Partner verheiratet und dass bei beiden die Staatsangehörigkeit China eingetragen sei. Zudem vermöge ein faktischer Aufenthalt in einem anderen Staat, wenn auch über einen längeren Zeitraum, einen besonde- ren Umstand im Sinne von Art. 51 Abs. 1 AsylG nicht zu begründen.</w:t>
      </w:r>
    </w:p>
    <w:p>
      <w:r>
        <w:rPr>
          <w:b/>
        </w:rPr>
        <w:t>E. 5.5.3</w:t>
      </w:r>
    </w:p>
    <w:p>
      <w:r>
        <w:t>In Übereinstimmung mit der vorinstanzlichen Einschätzung sind ihre Vorbringen und die diesbezüglich eingereichten Dokumente nicht geeignet, die im vorangegangenen Asylverfahren begangene Mitwirkungspflichtver- letzung auszuräumen oder in einem anderen Licht erscheinen zu lassen: Der Eintrag der chinesischen Staatsangehörigkeit in den eingereichten Auszügen aus dem Zivilstands- und Eheregister belegt nicht – im Sinne eines Beweises – die tatsächliche Staatsangehörigkeit der Beschwerde- führerin. Übereinstimmend mit den Erwägungen des SEM ist festzuhalten, dass diesen Einträgen keine Beweiskraft im Sinne von Art. 9 Abs. 1 ZGB, sondern höchstens Indiziencharakter zukommen kann (vgl. dazu auch BVGE 2020 VI/6 E. 10.1 mit Verweis auf Ziffer 2.1 der Weisung Nr. 10.10.05.01 vom 15. Mai 2010 zur Bezeichnung der Staatsangehörig- keit von ausländischen Staatsangehörigen im schweizerischen Personen- standsregister des Eidgenössischen Amtes für das Zivilstandswesen [EAZW]). Gemäss Art. 9 Abs. 1 ZGB erbringen öffentliche Register und öf- fentliche Urkunden für die durch sie bezeugten Tatsachen vollen Beweis, solange nicht die Unrichtigkeit ihres Inhaltes nachgewiesen ist. Diese Be- weisregel bezieht sich aber nur auf den Inhalt, den die Urkundsperson</w:t>
      </w:r>
    </w:p>
    <w:p>
      <w:r>
        <w:t>E-497/2020 Seite 9 durch eigene Wahrnehmung und Prüfung als richtig bescheinigen kann (vgl. BGE 144 IV 13 E. 2.2.4 und 110 II 1 E. 3.a m.w.H.).</w:t>
      </w:r>
    </w:p>
    <w:p>
      <w:r>
        <w:rPr>
          <w:b/>
        </w:rPr>
        <w:t>E. 5.5.4</w:t>
      </w:r>
    </w:p>
    <w:p>
      <w:r>
        <w:t>Die Einträge der Staatsangehörigkeit in den eingereichten Zivil- stands- und Eheregisterauszügen basieren alleine auf den Aussagen der Beschwerdeführerin, die mangels Vorliegens von Identitätsdokumenten von den Urkundspersonen nicht überprüft werden konnten. Die kantonalen Zivilstandsbehörden waren mithin nur in der Lage festzustellen, dass die Beschwerdeführerin die entsprechenden Behauptungen geäussert hat. Die von der Beschwerdeführerin behauptete Hauptsozialisation in Tibet und ihre chinesische Staatsangehörigkeit lassen sich somit aus den eingereich- ten Registerauszügen nicht ableiten.</w:t>
      </w:r>
    </w:p>
    <w:p>
      <w:r>
        <w:rPr>
          <w:b/>
        </w:rPr>
        <w:t>E. 5.5.5</w:t>
      </w:r>
    </w:p>
    <w:p>
      <w:r>
        <w:t>Was die Schreiben der Beschwerdeführerin an die Botschaften von Indien und Nepal (vgl. Sachverhalt oben, Bst. H.) anbelangt, lässt sich ebenfalls nicht auf die von ihr geltend gemachte Staatsangehörigkeit oder den Ort ihrer Sozialisation schliessen. Entgegen ihren Ausführungen wird daraus nicht ersichtlich, sie sei nicht in Indien oder Nepal registriert gewe- sen, zumal die Anfragen der Beschwerdeführerin seitens der Botschafts- vertretungen weder schriftlich bestätigt noch in anderer Form beantwortet wurden. Die Behauptungen der Beschwerdeführerin, sie sei weder in Ne- pal noch in Indien registriert und sie sei in Tibet sozialisiert worden und chinesische Staatsangehörige, werden insbesondere auch nicht etwa durch das Vorlegen eines Identitätspapiers, eines Reiseausweises oder anderer Dokumente, wie etwa einem Familienbüchlein, Bestätigungen ei- ner Gemeinde oder einem Schriftstück einer anderen chinesischen Be- hörde, die auf eine Sozialisierung in Tibet/China hindeuten würden, belegt.</w:t>
      </w:r>
    </w:p>
    <w:p>
      <w:r>
        <w:rPr>
          <w:b/>
        </w:rPr>
        <w:t>E. 5.5.6</w:t>
      </w:r>
    </w:p>
    <w:p>
      <w:r>
        <w:t>Substantiierte Angaben zur tatsächlichen Nationalität und dem Ort der Sozialisation wurden demnach – trotz entsprechender Erläuterung und Gehörsgewährung durch das SEM – von der Beschwerdeführerin im Ver- fahren betreffend Familienasyl nicht gemacht. Sie hat an ihrer Herkunft und Hauptsozialisierung in Tibet/China festgehalten und der Vorinstanz im Rahmen des Verfahrens um Einbezug in die Flüchtlingseigenschaft ihres Ehemanns keine Angaben über einen möglichen Aufenthalt in Nepal oder Indien geliefert, so dass der Vorinstanz die hypothetische Prüfung, ob ein Aufenthalt in einer der exiltibetischen Gemeinschaften ausserhalb Ti- bet/China für alle Familienmitglieder zulässig, zumutbar und möglich wäre, nicht möglich war; dies, obwohl das Bundesverwaltungsgericht in diesem Zusammenhang festgehalten hat, dass sich ein solches Eingeständnis der Hauptsozialisation ausserhalb Tibets/China aller Voraussicht nach nicht</w:t>
      </w:r>
    </w:p>
    <w:p>
      <w:r>
        <w:t>E-497/2020 Seite 10 negativ auf die Prüfung eines Gesuchs um Familienasyl nach Art. 51 Abs. 1 AsylG auswirken würde (vgl. BVGE 2020 VI/6 E. 9.7). Bei dieser Sach- lage durfte das SEM auf die Beweiswürdigung im ersten Asylverfahren ab- stellen und der Beschwerdeführerin (nach wie vor) eine Mitwirkungspflicht- verletzung entgegenhalten.</w:t>
      </w:r>
    </w:p>
    <w:p>
      <w:r>
        <w:rPr>
          <w:b/>
        </w:rPr>
        <w:t>E. 5.6</w:t>
      </w:r>
    </w:p>
    <w:p>
      <w:r>
        <w:t>An dieser Einschätzung ändern die Ausführungen in der Rechtsmittel- schrift nichts, werden doch darin hauptsächlich dieselben Einwände gel- tend gemacht, wie sie die Beschwerdeführerin bereits in ihrer Antwort an das SEM darlegte. Es ist demzufolge davon auszugehen, dass bei der Be- schwerdeführerin besondere Umstände im Sinne von Art. 51 Abs. 1 AsylG vorliegen, welche einem Einbezug in die Flüchtlingseigenschaft ihres Le- benspartners entgegenstehen. Das SEM hat ihr Gesuch um Einbezug in die Flüchtlingseigenschaft ihres Ehemannes demnach zu Recht abgelehnt. Es sei dennoch darauf hingewiesen, dass die Beschwerdeführerin jeder- zeit die Möglichkeit hat, ihre tatsächliche Herkunft offenzulegen und in der Folge ein neues Gesuch um Familienasyl zu stellen. Dieses könnte von der Vorinstanz in Kenntnis aller relevanten Tatsachen geprüft werden.</w:t>
      </w:r>
    </w:p>
    <w:p>
      <w:r>
        <w:rPr>
          <w:b/>
        </w:rPr>
        <w:t>E. 5.7</w:t>
      </w:r>
    </w:p>
    <w:p>
      <w:r>
        <w:t>Sind die Voraussetzungen des Familienasyls im Sinne von Art. 51 AsylG nicht erfüllt, kann auch nicht Art. 8 EMRK (schützenswerte Bezie- hung) ergänzend hinzugezogen werden (BVGE 2020 VI/7 E. 3.6). Für die allfällige Beurteilung des Familiennachzuges nach den ausländerrechtli- chen Bestimmungen ist die Beschwerdeführerin auf die Zuständigkeit der kantonalen Behörden zu verweisen (vgl. u.a. Urteil des BVGer D-354/2022 vom 14. März 2022 E. 6.1 m.w.H.).</w:t>
      </w:r>
    </w:p>
    <w:p>
      <w:r>
        <w:rPr>
          <w:b/>
        </w:rPr>
        <w:t>E. 6</w:t>
      </w:r>
    </w:p>
    <w:p>
      <w:r>
        <w:t>Aus diesen Erwägungen ergibt sich, dass die angefochtene Verfügung Bundesrecht nicht verletzt. Für eine Rückweisung der Sache an die Vor- instanz besteht kein Anlass. Die Beschwerde ist daher abzuweisen.</w:t>
      </w:r>
    </w:p>
    <w:p>
      <w:r>
        <w:rPr>
          <w:b/>
        </w:rPr>
        <w:t>E. 7</w:t>
      </w:r>
    </w:p>
    <w:p>
      <w:r>
        <w:t>Bei diesem Verfahrensausgang wären die Kosten grundsätzlich der Be- schwerdeführerin aufzuerlegen (Art. 63 Abs. 1 VwVG). Nachdem jedoch mit Verfügung vom 5. Februar 2020 unter Vorbehalt der Nachreichung ei- ner Fürsorgebestätigung das Gesuch um Gewährung der unentgeltlichen Rechtspflege im Sinne von Art. 65 Abs. 1 VwVG gutgeheissen wurde und die Fürsorgebestätigung vom 11. Februar 2020 nachgereicht wurde (vgl. Sachverhalt oben, Bst. G. und H.), sind keine Verfahrenskosten aufzuerle- gen.</w:t>
      </w:r>
    </w:p>
    <w:p>
      <w:r>
        <w:t>E-497/2020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