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E-4979/2018 vom 14. September 2018</w:t>
      </w:r>
    </w:p>
    <w:p>
      <w:r>
        <w:t>Bundesverwaltungsgericht, 2018-09-14, DE</w:t>
      </w:r>
    </w:p>
    <w:p>
      <w:r>
        <w:rPr>
          <w:b/>
        </w:rPr>
        <w:t xml:space="preserve">Quelle: </w:t>
      </w:r>
      <w:r>
        <w:t>https://mcp.opencaselaw.ch/entscheid/bvger_E-4979_2018</w:t>
      </w:r>
    </w:p>
    <w:p>
      <w:r>
        <w:t>FR: TAF E-4979/2018 du 14 septembre 2018</w:t>
      </w:r>
    </w:p>
    <w:p>
      <w:r>
        <w:t>IT: TAF E-4979/2018 del 14 settembre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Die Beschwerdeführenden werfen der Vorinstanz sinngemäss eine Verletzung des Anspruchs auf rechtliches Gehör, der Pflicht zur vollständigen und richtigen Abklärung des rechtserheblichen Sachverhaltes und des Willkürverbots vor. Diese verfahrensrechtlichen Rügen sind vorab zu prüfen, da sie allenfalls geeignet sind, eine Kassation der vorinstanzlichen Verfügung zu bewirken (vgl. Urteile des BVGer E-5381/2016 vom 30. November 2016 undE-2002/2016 vom 15. Dezember 2016).</w:t>
      </w:r>
    </w:p>
    <w:p>
      <w:r>
        <w:rPr>
          <w:b/>
        </w:rPr>
        <w:t>E. 4.2</w:t>
      </w:r>
    </w:p>
    <w:p>
      <w:r>
        <w:t>Die Beschwerdeführenden bringen vor, die Vorinstanz berufe sich in ihrem Entscheid auf Spekulationen. Sie hätten mit diesen konfrontiert und ihnen hätte das rechtliche Gehör gewährt werden müssen. Sofern sie damit geltend machen, ihnen hätte vor Erlass der angefochtenen Verfügung die Möglichkeit zur Stellungnahme eingeräumt werden müssen, ist Folgendes festzuhalten: Das aus dem Anspruch auf rechtliches Gehör abgeleitete Recht zur Stellungnahme bezieht sich in der Regel nicht auf die vorgesehene rechtliche Begründung, sondern auf den rechtserheblichen Sachverhalt (vgl. BGE 132 II 485 E 3.2 ff.). Dieser war den Beschwerdeführenden bekannt, leitet er sich doch einzig aus deren Aussagen anlässlich der Anhörungen ab. Die Vorinstanz war somit nicht verpflichtet, ihnen den Inhalt der Verfügung vorweg zur Stellungnahme zu unterbreiten. Dass der Sachverhalt von der Vorinstanz nicht korrekt erstellt worden wäre, wird von den Beschwerdeführenden zwar geltend gemacht, jedoch nicht begründet. Die übrigen formellen Rügen werden von den Beschwerdeführenden ebenso wenig substantiiert. Den Akten ist nicht zu entnehmen, worin die geltend gemachten Verletzungen der oben genannten Bestimmungen liegen sollen. Entsprechend ist darauf nicht weiter einzugehen. Die formellen Rügen erweisen sich als unbegründet.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des ablehnenden Entscheids befand die Vorinstanz die Vorbringen der Beschwerdeführenden als nicht asylrelevant im Sinne von Art. 3 AsylG. Es handle sich dabei um einen innerfamiliären Konflikt, dem kein asylrelevantes Motiv zu Grunde liege. Der Beschwerdeführer sei aufgrund der Unterstützung seiner Mutter akzessorisch zum gezielten Vorgehen seines Vaters und zweier seiner Brüder gegen diese mitbedroht worden. Die Beschwerdeführerin habe weder ernsthafte Nachteile erlitten noch habe sie solche zu befürchten.</w:t>
      </w:r>
    </w:p>
    <w:p>
      <w:r>
        <w:rPr>
          <w:b/>
        </w:rPr>
        <w:t>E. 6.2</w:t>
      </w:r>
    </w:p>
    <w:p>
      <w:r>
        <w:t>Auf Beschwerdeebene konkretisieren die Beschwerdeführenden verschiedene Punkte ihrer Aussagen und führen aus, sie hätten sich der familiären Verfolgung und einer möglichen Tötung nur durch Flucht entziehen können. Nach wie vor müssten sie mit Verfolgungshandlungen rechnen und könnten keinen Schutz davor finden. Eine innerstaatliche Fluchtalternative bestehe nicht. Die Vorinstanz habe die lebensbedrohliche Situation, in der sie sich befänden, unterschätzt. Der Beschwerdeführer habe um sein Leben fürchten müssen und leide zurzeit an einer Panikstörung. Sein Vater sei eine mächtige und unberechenbare Person. Der Kausalzusammenhang zwischen Verfolgung und Flucht sei von der Vorinstanz nicht beachtet worden. Durch den Umstand, dass er seiner Mutter zur Flucht verholfen habe, habe er die Ehre der Familie beschädigt. Sein Vater habe angekündigt, den Ruf der Familie wiederherzustellen. Zu diesem Zweck müsse er den Beschwerdeführer bestrafen, was im schlimmsten Fall einen Ehrenmord bedeuten könne. Da ein enger Kausalzusammenhang zwischen der Verfolgung des Beschwerdeführers und derjenigen seiner Mutter bestehe, hätte ihm, gleich wie seiner Mutter, Asyl gewährt werden müssen. Die Akten der Mutter seien beizuziehen. Aufgrund der Ehrverletzung der Familie hätten die Beschwerdeführenden bei einer Rückkehr in den Irak begründete Furcht davor, Opfer familiärer Gewalt, bis hin zu einem Mord, zu werden. Im Übrigen machen die Beschwerdeführenden allgemeine Ausführungen zu den Begriffen der Familienehre und des Ehrverbrechens.</w:t>
      </w:r>
    </w:p>
    <w:p>
      <w:r>
        <w:rPr>
          <w:b/>
        </w:rPr>
        <w:t>E. 7</w:t>
      </w:r>
    </w:p>
    <w:p>
      <w:r>
        <w:t>Die Vorinstanz ist in ihren Erwägungen zur zutreffenden Erkenntnis gelangt, die Vorbringen der Beschwerdeführenden würden den Anforderungen von Art. 3 AsylG an die flüchtlingsrechtliche Beachtlichkeit nicht genügen. Die Ausführungen in der Beschwerde führen zu keiner anderen Betrachtungsweise. Es wird nicht in Frage gestellt, dass sich die Beschwerdeführenden in ihrer Heimat in einer äusserst schwierigen Lage befunden haben und ihnen sowohl zum Zeitpunkt der Ausreise als auch zum heutigen Zeitpunkt ernsthafte Nachteile drohten beziehungsweise nach wie vor drohen, sie bei einer Rückkehr möglicherweise sogar einer Gefahr an Leib und Leben ausgesetzt wären. Diese Nachteile resultieren jedoch aus einem innerfamiliären Konflikt, dem bezogen auf die Beschwerdeführenden kein asylrelevantes Motiv (Rasse, Religion, Nationalität, Zugehörigkeit zu einer bestimmten sozialen Gruppe oder politische Anschauungen) zu Grunde liegt (vgl. dazu auch BVGE 2008/5 E. 4). Der Umstand, dass die Mutter des Beschwerdeführers als Flüchtling im Sinne von Art. 3 AsylG anerkannt wurde, vermag daran nichts zu ändern. Die Vorinstanz hat - wie aus der angefochtenen Verfügung und den Akten der Mutter des Beschwerdeführers hervorgeht - deren Vorbringen unter den Begriff der geschlechtsspezifischen Verfolgung subsumiert und sie deshalb als Flüchtling anerkannt. Der Verfolgung, welcher der Beschwerdeführer ausgesetzt war, ist kein geschlechtsspezifisches Motiv zu entnehmen. Er wurde von seinem Vater und seinen Brüdern bedroht und geschlagen, weil er seine Mutter verteidigen wollte. Die Nachteile, welchen er ausgesetzt war, waren eine Nebenfolge der Verfolgung seiner Mutter. Auch ergeben sich aus den Akten keine Hinweise, wonach ein allfälliger fehlender staatlicher Schutz auf einem asylrelevanten Motiv basieren würde.</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Das Gesuch um Gewährung der unentgeltlichen Prozessführung ist abzuweisen, da die Beschwerde gemäss den vorstehenden Erwägungen als aussichtslos zu bezeichnen ist und es daher an einer der kumulativ zu erfüllenden Voraussetzungen von Art. 65 Abs. 1 VwVG fehlt.</w:t>
      </w:r>
    </w:p>
    <w:p>
      <w:r>
        <w:rPr>
          <w:b/>
        </w:rPr>
        <w:t>E. 10.2</w:t>
      </w:r>
    </w:p>
    <w:p>
      <w:r>
        <w:t>Bei diesem Ausgang des Verfahrens sind die Kosten den Beschwerdeführeden aufzuerlegen (Art. 63 Abs. 1 VwVG) und auf insgesamt Fr. 750.- festzusetzen (Art. 1-3 des Reglements vom 21. Februar 2008 über die Kosten und Entschädigungen vor dem Bundesverwaltungsgericht [VGKE, SR 173.320.2]).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