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E-4979/2015 vom 2. September 2015</w:t>
      </w:r>
    </w:p>
    <w:p>
      <w:r>
        <w:t>Bundesverwaltungsgericht, 2015-09-02, DE</w:t>
      </w:r>
    </w:p>
    <w:p>
      <w:r>
        <w:rPr>
          <w:b/>
        </w:rPr>
        <w:t xml:space="preserve">Quelle: </w:t>
      </w:r>
      <w:r>
        <w:t>https://mcp.opencaselaw.ch/entscheid/bvger_E-4979_2015</w:t>
      </w:r>
    </w:p>
    <w:p>
      <w:r>
        <w:t>FR: TAF E-4979/2015 du 2 septembre 2015</w:t>
      </w:r>
    </w:p>
    <w:p>
      <w:r>
        <w:t>IT: TAF E-4979/2015 del 2 settembre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hat aufschiebende Wirkung von Gesetzes wegen und die Vorinstanz hat sie nicht entzogen (Art. 55 Abs. 1 und 2 VwVG). Der Antrag betreffend aufschiebende Wirkung ist gegenstandslos.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Glaubhaftigkeit nicht standhalten. So widerspreche er sich bezüglich der Stammeszugehörigkeit und Herkunft sowie den Wohnorten und Familienverhältnissen. Zudem seien zahlreiche eingereichte Dokumente als gefälscht erkannt worden. Das Einreichen von gefälschten Dokumenten entspreche jedoch nicht dem Verhalten einer verfolgten Person. Die Ausreisegründe schildere er mit schwerwiegenden Widersprüchen. Weitere Unglaubhaftigkeitselemente seien seine widersprüchlichen Aussagen zum Verbleib seiner Mutter sowie zu seiner Rückkehr aus Griechenland. Ausserdem würden aufgrund der Herkunftsanalyse Zweifel bestehen, dass der Beschwerdeführer überhaupt in C._______ gelebt habe.</w:t>
      </w:r>
    </w:p>
    <w:p>
      <w:r>
        <w:rPr>
          <w:b/>
        </w:rPr>
        <w:t>E. 4.2</w:t>
      </w:r>
    </w:p>
    <w:p>
      <w:r>
        <w:t>Der Beschwerdeführer wendet dagegen ein, er sei von der Richtigkeit der eingereichten Dokumente ausgegangen und zum Nachweis der Echtheit habe er Bestätigungen der irakischen Botschaft in Bern eingereicht. Die Dokumente seien nicht gefälscht, sondern ordnungsgemäss durch die irakischen Behörden ausgestellt worden. Er sei mehrfach bedroht, entführt und beleidigt worden, und es sei eine Handgranate vor seinem Geschäft deponiert gewesen, weshalb er ernsthaften Nachteilen ausgesetzt sei. Bezüglich Stammeszugehörigkeit handle es sich um einen Fehler beim Erfassen des Protokolls, da die fraglichen Stämme ähnlich klingen würden. Er habe bei der BzP Angst um sein Leben gehabt, weshalb er fälschlicherweise ausgesagt habe, er habe sein ganzes Leben in C._______ verbracht. Auch bezüglich der Familienverhältnisse handle es sich um ein Missverständnis. Zudem habe er Gedächtnisproblem, welche er momentan abklären lasse. Deshalb habe er auch in den Befragungen mehrmals gesagt, dass er etwas nicht mehr genau wisse. Ungereimtheiten in Nebensächlichkeiten würden sich deshalb auf verblassende Erinnerungen zurückführen lassen. Ausserdem sei zu berücksichtigen, dass es sich um ein älteres Dossier handle.</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widersprüchlich und unglaubhaft ausgefallen ist. Zutreffend hält die Vorinstanz fest, dass es nicht dem Verhalten einer verfolgten Person entspricht, gefälschte Dokumente abzugeben. Der Beschwerdeführer hat sowohl bei der Vorinstanz, als auch beim Zivilstandsamt mehrere gefälschte Dokumente abgegeben. Dies geht aus den Berichten der Schweizerischen Vertretung in Jordanien hervor. Die auf Beschwerdeebene eingereichten Echtheitsbestätigungen der irakischen Botschaft in Bern vermögen daran nichts zu ändern. Geht aus der kurzen Feststellung der Echtheitsbestätigungen, dass es sich um ordnungsgemäss ausgestellte Dokumente handle, doch nicht hervor, inwiefern die Ausweisschriften von der irakischen Botschaft geprüft worden sind und anhand welcher Sicherheitsmerkmale die Echtheit festgestellt wurde. Währenddessen geht aus den beiden Schreiben der Schweizerischen Vertretung in Jordanien detailliert hervor, welche Sicherheitsmerkmale fehlen und aus welchen Gründen es sich bei den eingereichten Ausweisschriften um Totalfälschungen handelt. Der Beschwerdeführer wurde ausserdem rechtskräftig wegen "Fälschung von Ausweisen (mehrfache Begehung)" verurteilt. Es muss somit festgestellt werden, dass die persönliche Glaubwürdigkeit des Beschwerdeführers durch das Einreichen diverser gefälschter Dokumente erheblich erschüttert wird. Dass er von der Echtheit der Ausweise ausgegangen sei, kann ihm unter diesen Umständen nicht geglaubt werden. Zudem weisen die Aussagen des Beschwerdeführers teils erhebliche Widersprüche auf. Der Beschwerdeführer erklärt dies mit einem Unfall, den er als Kind erlitten habe. Dieser Unfall sei verantwortlich für die diversen Erinnerungslücken in seinen Aussagen. Trotzdem kann vom Beschwerdeführer erwartet werden, dass er die Eckpunkte seines Lebens und die Gründe seiner Ausreise aus dem Irak widerspruchslos schildern kann. Dies gelingt ihm jedoch nicht. So schilderte er in der BzP, dass sein Vater ermordet worden sei, der Aufenthaltsort seiner Mutter unbekannt sei und seine Eltern keine Geschwister hätten (SEM-Akten, A1/10 S. 4). In der Anhörung führt er hingegen aus, er wisse nicht, ob sein Vater noch am Leben sei, seine Mutter sei nicht verschwunden und sein Vater habe mehrere Geschwister (SEM-Akten, A66/20 F25, F87, F53 ff. und F99 f.). Ebenfalls erwähnt der Beschwerdeführer in der BzP, dass er sein ganzes Leben in C._______ verbracht habe (SEM-Akten, A1/10 S. 1). Gemäss seinen Angaben in der Anhörung hingegen habe er bis 2007 in B._______ gelebt und erst ab dann eineinhalb bis zwei Jahre in C._______ (SEM-Akten, A66/20 F10). Der Beschwerdeführer rechtfertigt seine Aussagen in der BzP damit, dass er Angst um sein Leben gehabt habe, weil er gedacht habe, dass man ihn aufgrund seiner Aussagen finden werde. Dem muss entgegengesetzt werden, dass der Beschwerdeführer in der BzP unterschriftlich bestätigt hat, dass das Protokoll seine Aussagen enthält und dass diese der Wahrheit entsprechen, sowie dass es ihm in eine verständliche Sprache rückübersetzt wurde (SEM-Akten, A1/10 S. 8). Ebenfalls weisen seine Schilderungen der Asylgründe erhebliche Widersprüche auf. So führt er in der BzP aus, er habe für die Islamisten ein Auto auf der Strasse zwischen Kirkuk und Bagdad platziert (SEM-Akten, A1/10 S. 6), während er in der Anhörung aussagt, er habe solches nie ausgeführt (SEM-Akten, A66/20 F11). Bezüglich der vor seinem Laden deponierten Handgranate führt er einerseits aus, er und die Nachbarn hätten die Polizei informiert (SEM-Akten, A1/10 S. 6), andererseits habe er nichts weiter unternommen (SEM-Akten, A66/20 F113). Die angebliche Entführung und die anschliessende Freilassung schildert er äusserst oberflächlich und ohne jegliche Realkennzeichen (vgl. SEM-Akten, A1/10 S. 6 und A66/20 F14 ff.). Für zahlreiche weitere Unstimmigkeiten und Widersprüche kann, um Wiederholungen zu vermeiden, auf die zutreffenden Erwägungen der Vor­instanz verwiesen werden.</w:t>
      </w:r>
    </w:p>
    <w:p>
      <w:r>
        <w:rPr>
          <w:b/>
        </w:rPr>
        <w:t>E. 4.4</w:t>
      </w:r>
    </w:p>
    <w:p>
      <w:r>
        <w:t>Zusammenfassend ist festzuhalten, dass es dem Beschwerdeführer nicht gelungen ist, eine im Zeitpunkt seiner Ausreise aus dem Irak bestehende oder drohende, asylrechtlich relevante Gefährdung nachzuweisen oder glaubhaft zu machen.</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in den Irak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Der Beschwerdeführer stammt gemäss LINGUA-Analyse aus der Provinz B._______. Die Vorinstanz stellt zunächst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 in die irakischen Nordprovinzen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Des Weiteren vermöge die Peschmerga bereits wieder Gebietsgewinne ausserhalb der Autonomen Region Kurdistans zu verbuchen. Der Wegweisungsvollzug sei deshalb nach wie vor grundsätzlich zumutbar. Ebenfalls würden keine individuellen Gründe gegen die Zumutbarkeit des Wegweisungsvollzugs sprechen. Der Beschwerdeführer vermag der vorinstanzlichen Argumentation nichts entgegenzusetzen. Auch aus den eingereichten Beweismitteln kann der Beschwerdeführer nichts zu seinen Gunsten ableiten. Es handelt sich bei ihm um einen alleinstehenden, jungen kurdischen Mann, der ursprünglich aus der Autonomen Region Kurdistans stammt, dort sein ganzes bisheriges Leben verbracht hat und über ein soziales Netz (Familie, Freunde) verfügt. In Übereinstimmung mit den vorinstanzlichen Erwägungen ist vorliegend von der Zumutbarkeit des Wegweisungsvollzugs auszugehen.</w:t>
      </w:r>
    </w:p>
    <w:p>
      <w:r>
        <w:rPr>
          <w:b/>
        </w:rPr>
        <w:t>E. 6.4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6.5</w:t>
      </w:r>
    </w:p>
    <w:p>
      <w:r>
        <w:t>Die Vorinstanz hat demnach zu Recht Wegweisungsvollzugshindernisse verneint. Die Anordnung einer vorläufigen Aufnahme fällt ausser Betracht (Art. 83 Abs. 1 - 4 AuG).</w:t>
      </w:r>
    </w:p>
    <w:p>
      <w:r>
        <w:rPr>
          <w:b/>
        </w:rPr>
        <w:t>E. 7.1</w:t>
      </w:r>
    </w:p>
    <w:p>
      <w:r>
        <w:t>Mit Blick auf die vorstehenden Erwägungen ergibt sich, dass die Beschwerdesache aufgrund der bestehenden Aktenlage spruchreif ist. Der rechtserhebliche Sachverhalt ist ausreichend erstellt, und weitergehende Abklärungen erweisen sich nicht als nötig. Damit besteht auch keine Veranlassung, die Sache wie im Eventualantrag beantragt zur Feststellung des Sachverhalts und zur Neubeurteilung an die Vorinstanz zurückzuweisen.</w:t>
      </w:r>
    </w:p>
    <w:p>
      <w:r>
        <w:rPr>
          <w:b/>
        </w:rPr>
        <w:t>E. 7.2</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seine Begehren als aussichtslos zu gelten haben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