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E-4972/2007 vom 11. August 2011</w:t>
      </w:r>
    </w:p>
    <w:p>
      <w:r>
        <w:t>Bundesverwaltungsgericht, 2011-08-11, DE</w:t>
      </w:r>
    </w:p>
    <w:p>
      <w:r>
        <w:rPr>
          <w:b/>
        </w:rPr>
        <w:t xml:space="preserve">Quelle: </w:t>
      </w:r>
      <w:r>
        <w:t>https://mcp.opencaselaw.ch/entscheid/bvger_E-4972_2007</w:t>
      </w:r>
    </w:p>
    <w:p>
      <w:r>
        <w:t>FR: TAF E-4972/2007 du 11 août 2011</w:t>
      </w:r>
    </w:p>
    <w:p>
      <w:r>
        <w:t>IT: TAF E-4972/2007 del 11 agosto 2011</w:t>
      </w:r>
    </w:p>
    <w:p>
      <w:pPr>
        <w:pStyle w:val="Heading2"/>
      </w:pPr>
      <w:r>
        <w:t>Regeste</w:t>
      </w:r>
    </w:p>
    <w:p>
      <w:r>
        <w:t>Asyl und Wegweisung</w:t>
      </w:r>
    </w:p>
    <w:p>
      <w:pPr>
        <w:pStyle w:val="Heading2"/>
      </w:pPr>
      <w:r>
        <w:t>Erwägungen</w:t>
      </w:r>
    </w:p>
    <w:p>
      <w:r>
        <w:rPr>
          <w:b/>
        </w:rPr>
        <w:t>E. 1</w:t>
      </w:r>
    </w:p>
    <w:p>
      <w:r>
        <w:t>1.1Gemäss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37 VGG i.V.m. Art. 48 Abs. 1 VwVG,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des Leibes, des Lebens oder der Freiheit sowie Massnahmen, die einen unerträglichen psychischen Druck bewirken.</w:t>
      </w:r>
    </w:p>
    <w:p>
      <w:r>
        <w:rPr>
          <w:b/>
        </w:rPr>
        <w:t>E. 3.2</w:t>
      </w:r>
    </w:p>
    <w:p>
      <w:r>
        <w:t>Nach Lehre und Rechtsprechung erfüllt eine asylsuchende Person die Flüchtlingseigenschaft im Sinne von Art. 3 AsylG, wenn sie Nachteile von bestimmter Intensität mit beachtlicher Wahrscheinlichkeit und in absehbarer Zukunft begründet befürchten muss, die ihr gezielt und aufgrund Nach Lehre und Rechtsprechung erfüllt eine asylsuchende Person die bestimmter Verfolgungsmotive zugefügt zu werden drohen und vor denen sie keinen ausreichenden staatlichen Schutz erwarten kann (vgl. Urteile des Bundesverwaltungsgerichts BVGE 2007/31 E. 5.2 f., BVGE 2008/4 E. 5.2, jeweils mit weiteren Hinweisen).</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Darstellung des Sachverhalts sprechen. Entscheidend ist im Sinne einer Gesamtwürdigung, ob die Gründe, die für die Richtigkeit des dargelegten Sachverhalts sprechen, überwiegen oder nicht; dabei ist auf eine objektivierte Sichtweise abzustellen.</w:t>
      </w:r>
    </w:p>
    <w:p>
      <w:r>
        <w:rPr>
          <w:b/>
        </w:rPr>
        <w:t>E. 5.1</w:t>
      </w:r>
    </w:p>
    <w:p>
      <w:r>
        <w:t>Das BFM erachtete die Vorbringen des Beschwerdeführers insgesamt als unglaubhaft, da er im Laufe des Verfahrens angeblich zu wesentlichen Punkten unterschiedliche Angaben gemacht habe. Nach Durchsicht der Akten sind die diesbezüglichen Argumente in der angefochtenen Verfügung wenig überzeugend und die Widersprüche, wie in der Beschwerde zutreffend gerügt wird, nicht derart gravierend, dass generell auf Unglaubhaftigkeit aller Vorbringen des Beschwerdeführers geschlossen werden müsste. Es erübrigt sich aber, näher darauf sowie die entsprechenden Einwände in der Beschwerde einzugehen, weil es dem Beschwerdeführer, wie im Folgenden zu zeigen ist, nicht gelingt, eine Gefährdung im Sinne von Art. 3 AsylG darzutun.</w:t>
      </w:r>
    </w:p>
    <w:p>
      <w:r>
        <w:rPr>
          <w:b/>
        </w:rPr>
        <w:t>E. 5.2</w:t>
      </w:r>
    </w:p>
    <w:p>
      <w:r>
        <w:t>Zunächst ist festzustellen, dass der Beschwerdeführer selbst weder Probleme mit den Taliban noch mit der zivilen Bevölkerung, die sich an seinem Vater und Bruder gerächt haben sollen, geltend machte. Auch in der Beschwerde wird nicht auf seine persönliche Gefährdungssituation hingewiesen, sondern vielmehr allgemein über die bürgerkriegsähnlichen Zustände und die Gewaltakte der Taliban gegen die Zivilbevölkerung berichtet.</w:t>
      </w:r>
    </w:p>
    <w:p>
      <w:r>
        <w:rPr>
          <w:b/>
        </w:rPr>
        <w:t>E. 5.2.1</w:t>
      </w:r>
    </w:p>
    <w:p>
      <w:r>
        <w:t>Als Zwischenergebnis ist daher festzuhalten, dass der Beschwerdeführer zum Zeitpunkt seiner Ausreise nicht selbst von einer konkreten, gegen ihn gerichteten Verfolgungshandlung betroffen war, mithin keine asylrechtlich relevanten Nachteile erlitten hat. Nachdem offensichtlich sein Vater und Bruder getötet worden sind und somit der "Gerechtigkeit" Genüge getan worden ist, besteht kein Anlass zur Annahme, dass auch der damals (...)jährige Beschwerdeführer begründete Furcht gehabt hätte, asylrechtlich relevanten Übergriffen ausgesetzt gewesen zu sein.</w:t>
      </w:r>
    </w:p>
    <w:p>
      <w:r>
        <w:rPr>
          <w:b/>
        </w:rPr>
        <w:t>E. 5.2.2</w:t>
      </w:r>
    </w:p>
    <w:p>
      <w:r>
        <w:t>Massgeblich für die Beurteilung der Flüchtlingseigenschaft ist die Situation im Zeitpunkt des Asylentscheides, wobei die Frage nach der im Zeitpunkt der Ausreise vorhandenen Furcht vor einer absehbaren Verfolgung im Heimatstaat Ausgangspunkt der Prüfung bildet. Veränderungen der objektiven Situation im Heimatstaat zwischen Ausreise und Asylentscheid sind zugunsten und zulasten der das Asylgesuch stellenden Person zu berücksichtigen (vgl. BVGE 2008/4 E. 5.4 S. 38 f. und dort zitierte Praxis).</w:t>
      </w:r>
    </w:p>
    <w:p>
      <w:r>
        <w:rPr>
          <w:b/>
        </w:rPr>
        <w:t>E. 5.3</w:t>
      </w:r>
    </w:p>
    <w:p>
      <w:r>
        <w:t>Es bleibt daher zu prüfen, inwiefern der Beschwerdeführer im Fall einer Rückkehr in sein Heimatland im heutigen Zeitpunkt eine begründete Furcht vor allfälliger asylrelevanter Verfolgung hat (Art. 3 AsylG).</w:t>
      </w:r>
    </w:p>
    <w:p>
      <w:r>
        <w:rPr>
          <w:b/>
        </w:rPr>
        <w:t>E. 5.3.1</w:t>
      </w:r>
    </w:p>
    <w:p>
      <w:r>
        <w:t>Es kann zwar nicht gänzlich ausgeschlossen werden, dass der Beschwerdeführer - möglicherweise auch aufgrund seiner Zugehörigkeit zur Ethnie der Hazara - von anderen Bewohnern paschtunischer Ethnie, worunter auch Taliban zu rechnen sind, bedroht und belästigt werden könnte. Dennoch ist aufgrund seiner Darlegungen sowie der beigezogenen Akten nicht anzunehmen, dass er bei einer Rückkehr nach Afghanistan in absehbarer Zukunft und mit erheblicher Wahrscheinlichkeit mit gegen ihn gerichteten Verfolgungsmassnahmen im Sinne ernsthafter Nachteile gemäss Art. 3 Abs. 2 AsylG rechnen müsste. Nach dem Gesagten, muss seine Furcht vor Verfolgung auch aktuell als objektiv nicht nachvollziehbar und somit als unbegründet gewertet werden. Die Vorinstanz hat daher die Flüchtlingseigenschaft zu Recht, wenn auch teilweise mit anderer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w:t>
      </w:r>
    </w:p>
    <w:p>
      <w:r>
        <w:rPr>
          <w:b/>
        </w:rPr>
        <w:t>E. 8.2</w:t>
      </w:r>
    </w:p>
    <w:p>
      <w:r>
        <w:t>Von vornherein ausgeschlossen ist ein Vollzug der Weg­weisung in den Iran, wo sich der Beschwerdeführer als afghanischer Staatsbürger während vier Jahren aufgehalten und dort gearbeitet hat. Die Annahme, dass er sich in die­sem Land möglicher­weise legal als Flüchtling auf­halten könnte, ist zwar nicht ausgeschlos­sen. Hingegen er­scheint nicht realistisch, dass er als af­gha­nischer Staats­bürger die iranische Staatsbürgerschaft erwerben konn­te. In den Iran könnte der Vollzug der Wegweisung indes nur dann erfolgen, wenn die Möglichkeit einer legalen Wiedereinreise be­stün­de. Diese Mög­lich­keit ist von der Vorinstanz aber zu Recht nicht erwogen worden, zu­mal der Be­schwerdeführer als afghanischer Staatsbürger einen allfälligen Dul­dungsanspruch in diesem Drittstaat aufgrund seiner langen Landesabwesen­heit ohnehin verwirkt haben dürfte (vgl. dazu die Urteile des Bundesverwaltungsgerichts D-3936 vom 10. August 2009, D-6471/2007 vom 26. August 2009 sowie D-8645/2007 vom 7. Juni 2010).</w:t>
      </w:r>
    </w:p>
    <w:p>
      <w:r>
        <w:rPr>
          <w:b/>
        </w:rPr>
        <w:t>E. 8.3</w:t>
      </w:r>
    </w:p>
    <w:p>
      <w:r>
        <w:t>Im zur Publikation vorgesehenen Urteil BVGE E-7625/2008 vom 16. Juni 2011 skizziert das Bundesverwaltungsgericht ein äusserst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Ent­schei­dun­gen und Mitteilun­gen der Schwei­zerischen Asylrekurskommission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existenbedrohende Situation. Im Übrigen betone auch der schweizeri­sche Botschafter in Islamabad die vorrangige Bedeutung eines tragfähigen sozialen Netzes für einen Rückkehrer zur Vermeidung unüber­brückbarer Schwierigkeiten (vgl. E. 9.3 ff.).</w:t>
      </w:r>
    </w:p>
    <w:p>
      <w:r>
        <w:rPr>
          <w:b/>
        </w:rPr>
        <w:t>E. 8.4</w:t>
      </w:r>
    </w:p>
    <w:p>
      <w:r>
        <w:t>Der Beschwerdeführer stammt aus der Provinz Herat. Die Frage, ob hinsichtlich Herat, der zweitgrössten Stadt Afghanistans analog zu Kabul allenfalls unter bestimmten Voraussetzungen ebenfalls von der Zu­mutbarkeit des Vollzugs ausgegangen werden könne, ist im zitierten Ur­teil offen gelassen worden (E. 9.9.3). Fest steht indes, dass die oben ste­hend aufgeführten strengen Bedingungen für eine dortige Wohnsitz­nahme ebenfalls erfüllt sein müssten.</w:t>
      </w:r>
    </w:p>
    <w:p>
      <w:r>
        <w:rPr>
          <w:b/>
        </w:rPr>
        <w:t>E. 8.4.1</w:t>
      </w:r>
    </w:p>
    <w:p>
      <w:r>
        <w:t>Gemäss seinen Angaben, lebte der Beschwerdeführer nicht in der Stadt selbst, sondern bis zu seinem 17. Lebensjahr auf dem Lande im D._______, wo er nicht zur Schule gegangen ist. Bis zum Tode seines Vaters und Bruders im November 2001 arbeitete er als (...) in der Stadt Herat. Danach kehrte er nicht mehr in seinen Heimatdort zurück, sondern begab sich in den Iran, wo er bis 2005 gelebt hat. Nach erfolgter Aufforderung der iranischen Behörden, nach Afghanistan zurückzukehren, verliess er den Iran und gelangte über die Türkei in die Schweiz.</w:t>
      </w:r>
    </w:p>
    <w:p>
      <w:r>
        <w:rPr>
          <w:b/>
        </w:rPr>
        <w:t>E. 8.4.2</w:t>
      </w:r>
    </w:p>
    <w:p>
      <w:r>
        <w:t>Die Vorinstanz erwog zwar, dass in Herat nicht von einer permanent instabilen Lage gesprochen werden könne, stellte aber fest, dass es für sie - aufgrund der widersprüchlichen Aussagen des Beschwerdeführers - nicht möglich sei, sich zur Zumutbarkeit des Wegweisungsvollzugs zu äussern, und bezeichnete grundsätzlich eine innerstaatliche Wohnsitzalternative im Grossraum Kabul als offen, zumal er dort (...) habe, die über ein wirtschaftliches Auskommen verfüge.</w:t>
      </w:r>
    </w:p>
    <w:p>
      <w:r>
        <w:rPr>
          <w:b/>
        </w:rPr>
        <w:t>E. 8.4.3</w:t>
      </w:r>
    </w:p>
    <w:p>
      <w:r>
        <w:t>Ob der Beschwerdeführer in Herat noch über ein Elternhaus, wo er sich allenfalls niederlassen könnte verfügt, kann offen gelassen werden, zumal er - gemäss eigenen Aussagen - in Herat über kein soziales Beziehungsnetz mehr verfügt. Diesbezüglich ist zu betonen, dass aufgrund der über zehnjährigen Abwesenheit an die Tragfähigkeit des sozialen Netzes umso höhere Anforderungen zu stellen sind. Ob er in der Stadt Herat, wo er vor zehn Jahren arbeitete, wieder eine Anstellung finden würde, ist ungewiss, weshalb nicht davon auszugehen ist, es würde ihm gelingen, dort eine Existenzgrundlage aufzubauen. Ein Vollzug der Wegweisung nach Herat ist somit als unzumutbar zu erachten.</w:t>
      </w:r>
    </w:p>
    <w:p>
      <w:r>
        <w:rPr>
          <w:b/>
        </w:rPr>
        <w:t>E. 8.4.4</w:t>
      </w:r>
    </w:p>
    <w:p>
      <w:r>
        <w:t>Eine innerstaatliche Aufenthaltsalternative in Kabul ist ebenfalls zu verneinen. Zwar wohnt dort (...), aber auch hier ist nicht von einer genügenden Tragfähigkeit des Beziehungsnetzes im Sinne der Rechtsprechung auszugehen, zumal der Beschwerdeführer, als er sich noch in Afghanistan aufhielt, kaum Kontakt zu ihr hatte und anlässlich der Befragung im EVZ angab, keine gute Beziehung zu ihr zu haben (vgl. A1/S. 3).</w:t>
      </w:r>
    </w:p>
    <w:p>
      <w:r>
        <w:rPr>
          <w:b/>
        </w:rPr>
        <w:t>E. 8.4.5</w:t>
      </w:r>
    </w:p>
    <w:p>
      <w:r>
        <w:t>Zusammenfassend kann festgehalten werden, dass der Vollzug der Wegweisung nach Afghanistan für den Beschwerdeführer zur Zeit nicht zumutbar ist.</w:t>
      </w:r>
    </w:p>
    <w:p>
      <w:r>
        <w:rPr>
          <w:b/>
        </w:rPr>
        <w:t>E. 9</w:t>
      </w:r>
    </w:p>
    <w:p>
      <w:r>
        <w:t>Nach dem Gesagten ist die Beschwerde, soweit den Vollzug der Wegweisung betreffend, gutzuheissen, und die Dispositivziffern 4 und 5 der vor-instanzlichen Verfügung vom 20. Juni2007 sind aufzuheben. Im Übrigen ist die Beschwerde abzuweisen. Das BFM ist sodann anzuweisen, dem Beschwerdeführer wegen Unzumutbarkeit des Wegweisungsvollzugs die vorläufige Aufnahme zu gewähren (vgl. Art. 44 Abs. 2 AsylG und Art. 83 Abs. 4 AuG).</w:t>
      </w:r>
    </w:p>
    <w:p>
      <w:r>
        <w:rPr>
          <w:b/>
        </w:rPr>
        <w:t>E. 10</w:t>
      </w:r>
    </w:p>
    <w:p>
      <w:r>
        <w:t>Bei diesem Ausgang des Verfahrens - das Bundesverwaltungsgericht geht bei der vorliegenden Konstellation von einem hälftigen Durchdringen aus - sind die reduzierten Verfahrenskosten von Fr. 300.- dem Beschwerdeführer aufzuerlegen (vgl. Art. 63 Abs. 1 VwVG).</w:t>
      </w:r>
    </w:p>
    <w:p>
      <w:r>
        <w:rPr>
          <w:b/>
        </w:rPr>
        <w:t>E. 11</w:t>
      </w:r>
    </w:p>
    <w:p>
      <w:r>
        <w:t>Gemäss Art. 64 Abs. 1 VwVG kann die Beschwerdeinstanz der obsiegenden Partei eine Parteientschädigung für die notwendigen und verhältnismässig hohen Kosten zusprechen. Dem vertretenen Beschwerdeführer ist angesichts des teilweise Obsiegens eine reduzierte Parteientschädigung zuzusprechen (Art. 7 Abs. 2 des Reglements vom 21. Februar 2008 über die Kosten und Entschädigungen vor dem Bundesverwaltungsgericht [VGKE, SR 173.320.2]). Nachdem keine Kostennote eingereicht wurde und sich der notwendige Vertretungsaufwand aufgrund der Aktenlage hinreichend zuverlässig abschätzen lässt, ist dieser anteilsmässig auf Fr. 600.- (inklusive Auslagen und allfällige Mehrwertsteuer) festzusetzen und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