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E-4970/2016 vom 23. August 2016</w:t>
      </w:r>
    </w:p>
    <w:p>
      <w:r>
        <w:t>Bundesverwaltungsgericht, 2016-08-23, DE</w:t>
      </w:r>
    </w:p>
    <w:p>
      <w:r>
        <w:rPr>
          <w:b/>
        </w:rPr>
        <w:t xml:space="preserve">Quelle: </w:t>
      </w:r>
      <w:r>
        <w:t>https://mcp.opencaselaw.ch/entscheid/bvger_E-4970_2016</w:t>
      </w:r>
    </w:p>
    <w:p>
      <w:r>
        <w:t>FR: TAF E-4970/2016 du 23 août 2016</w:t>
      </w:r>
    </w:p>
    <w:p>
      <w:r>
        <w:t>IT: TAF E-4970/2016 del 23 agosto 2016</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 unter Vorbehalt der nachfolgenden Erwägungen - einzutreten.</w:t>
      </w:r>
    </w:p>
    <w:p>
      <w:r>
        <w:rPr>
          <w:b/>
        </w:rPr>
        <w:t>E. 2</w:t>
      </w:r>
    </w:p>
    <w:p>
      <w:r>
        <w:t>Über offensichtlich unbegründete Beschwerden wird in einzelrichterlicher Zuständigkeit mit Zustimmung eines zweiten Richters beziehungsweise einer zweiten Richterin entschieden (Art. 111 Bst. e AsylG). Wie nachfolgend aufgezeigt wird, handelt es sich um eine solche, weshalb das Urteil nur summarisch zu begründen ist (Art. 111a Abs. 2 AsylG). Gestützt auf Art. 111a Abs. 1 Asyl wurde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Vorliegend rügt der Beschwerdeführer sinngemäss das Nichteintreten der Vorinstanz auf sein Asylgesuch und die vorinstanzliche Verfügung sei aufzuheben.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 Auf den entsprechenden Beschwerdeantrag (Ziffer 2) ist deshalb nicht einzutreten.</w:t>
      </w:r>
    </w:p>
    <w:p>
      <w:r>
        <w:rPr>
          <w:b/>
        </w:rPr>
        <w:t>E. 3.3</w:t>
      </w:r>
    </w:p>
    <w:p>
      <w:r>
        <w:t>In seiner Beschwerde rügt der Beschwerdeführer sodann, die vorin-stanzliche Verfügung sei entgegen Art. 13 Abs. 5 AsylG nicht seinem bevollmächtigten Vertreter zugestellt worden. Diesbezüglich ist festzuhalten, dass keine Vertretungsvollmacht bei den vorinstanzlichen Akten liegt und der Beschwerdeführer anlässlich der Erstbefragung eine Vertretung verneinte (vgl. SEM-Akten A 8 S. 2 Fragen f und g). Weiter beruft er sich auf Art. 35 AsylG, wobei diese Gesetzesbestimmung mit Wirkung seit 1. Februar 2014 aufgehoben wurde und deshalb im vorliegenden Verfahren keine Anwendung findet.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4.2</w:t>
      </w:r>
    </w:p>
    <w:p>
      <w:r>
        <w:t>Gemäss Art. 3 Abs. 1 Satz 2 Dublin-III-VO wird jeder Asylantrag von einem einzigen Mitgliedstaat geprüft, der nach den Kriterien des Kapitels III (Art. 8-15 Dublin-III-VO) als zuständiger Staat bestimmt wird (vgl. auch Art. 7 Abs. 1 Dublin-III-VO). 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den Antragsteller in jenem Mitgliedstaat systemisch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w:t>
      </w:r>
    </w:p>
    <w:p>
      <w:r>
        <w:rPr>
          <w:b/>
        </w:rPr>
        <w:t>E. 5</w:t>
      </w:r>
    </w:p>
    <w:p>
      <w:r>
        <w:t>Ein Abgleich der Fingerabdrücke des Beschwerdeführers mit der «Eurodac»-Datenbank ergab, dass dieser am 12. September 2014 in Italien ein Asylgesuch eingereicht hatte. Die Vorinstanz ersuchte deshalb zu Recht die italienischen Behörden am 14. Juli 2016 um Wiederaufnahme des Beschwerdeführers gestützt auf Art. 18 Abs. 1 Bst. b Dublin-III-VO. Die italienischen Behörden liessen das Übernahmeersuchen innert der in Art. 25 Abs. 1 Dublin-III-VO vorgesehenen Frist unbeantwortet, womit sie die Zuständigkeit von Italien implizit anerkannten (Art. 25 Abs. 2 Dublin-III-VO). 6.1 Die Vorinstanz führte zur Begründung der angefochtenen Verfügung im Wesentlichen aus, dass der Beschwerdeführer am 12. September 2014 in Italien ein Asylgesuch eingereicht habe und die italienischen Behörden innerhalb der festgelegten Frist zum Übernahmeersuchen der Vorinstanz keine Stellung genommen hätten, weshalb die Zuständigkeit, das Asyl- und Wegweisungsverfahren des Beschwerdeführers durchzuführen, am 29. Juli 2016 auf Italien übergegangen sei. Der vom Beschwerdeführer geäusserte Wunsch nach einem weiteren Verbleib in der Schweiz habe keinen Einfluss auf die Zuständigkeit für das Asyl- und Wegweisungsverfahren, da es grundsätzlich nicht Sache der betroffenen Person sei, den für ihr Asylverfahren zuständigen Staat selber zu bestimmen, sondern die Bestimmung des für sie zuständigen Staates alleine den beteiligten Dublin-Vertragsstaaten obliege. 6.2 Der Beschwerdeführer machte anlässlich der Gewährung des rechtlichen Gehörs geltend, er möchte nicht nach Italien zurückkehren und dort sein Asylgesuch überprüfen lassen. Er habe seine Würde verloren und es sei für ihn in Italien sehr schwierig. Zudem habe er keine Unterkunft und auch kein Geld. 6.3 Seine Ausführungen vermögen die Zuständigkeit Italiens zur Durchführung des Asyl- und Wegweisungsverfahrens nicht zu widerlegen.</w:t>
      </w:r>
    </w:p>
    <w:p>
      <w:r>
        <w:rPr>
          <w:b/>
        </w:rPr>
        <w:t>E. 7.1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Sodann hat auch der EGMR (Europäischer Gerichtshof für Menschenrechte) bezüglich Italien keine systemischen Mängel festgestellt. Mit Urteil Tarakhel gegen die Schweiz vom 4. November 2014 (Nr. 29217/12, Grosse Kammer, vgl. insb. §§ 114 f. und 120) befand er, die Lage in Italien sei nicht mit derjenigen von Griechenland vergleichbar (vgl. das Urteil M.S.S gegen Belgien und Griechenland vom 21. Januar 2011, Nr. 30696/09, Grosse Kammer).</w:t>
      </w:r>
    </w:p>
    <w:p>
      <w:r>
        <w:rPr>
          <w:b/>
        </w:rPr>
        <w:t>E. 8.1</w:t>
      </w:r>
    </w:p>
    <w:p>
      <w:r>
        <w:t>Der Beschwerdeführer machte in seiner Beschwerde eine unmenschliche Behandlung in Italien geltend. Er sei aus dem Aufnahmezentrum entlassen worden, ohne dass ihm eine neue Unterkunft zugeteilt worden sei und er habe auch kein Geld erhalten.</w:t>
      </w:r>
    </w:p>
    <w:p>
      <w:r>
        <w:rPr>
          <w:b/>
        </w:rPr>
        <w:t>E. 8.2</w:t>
      </w:r>
    </w:p>
    <w:p>
      <w:r>
        <w:t>Die Vorinstanz hat ihren Nichteintretensentscheid ausführlich sowie rechtskonform begründet. Auf die vorinstanzlichen Erwägungen kann zur Vermeidung von Wiederholungen vollumfänglich verwiesen werden. Festzuhalten ist, dass der Beschwerdeführer weder bei der Vorinstanz noch auf Beschwerdeebene die grundsätzliche Zuständigkeit Italiens gestützt auf Art. 18 Abs. 1 Bst. b Dublin-III-VO bestritten hat. In seiner knapp gefassten Beschwerdeeingabe wiederholte er lediglich die bereits bekannten Vorbringen. Sodann kommt der Vorinstanz bei der Anwendung von Art. 29a Abs. 3 AsylV 1 (SR 142.311) ein Ermessen zu (vgl. BVGE 2015/9 E. 7 f.) und den Akten sind keine Hinweise auf eine gesetzwidrige Ermessensausübung zu entnehmen (vgl. Art. 106 Abs. 1 Bst. a AsylG).</w:t>
      </w:r>
    </w:p>
    <w:p>
      <w:r>
        <w:rPr>
          <w:b/>
        </w:rPr>
        <w:t>E. 8.3</w:t>
      </w:r>
    </w:p>
    <w:p>
      <w:r>
        <w:t>Zusammenfassend vermochte der Beschwerdeführer keine konkrete oder ernsthafte Gefahr nachzuweisen oder glaubhaft zu machen, dass seine Überstellung nach Italien gegen Art. 3 EMRK oder eine andere völkerrechtliche Verpflichtung der Schweiz verstosse. Die Vorinstanz ist demnach zu Recht in Anwendung von Art. 31a Abs. 1 Bst. b AsylG auf das Asylgesuch des Beschwerdeführers nicht eingetreten und hat - da der Beschwerdeführer nicht im Besitz einer gültigen Aufenthalts- oder Niederlassungsbewilligung ist - in Anwendung von Art. 44 AsylG die Überstellung nach Italien angeordnet (Art. 32 Bst. a AsylV 1).</w:t>
      </w:r>
    </w:p>
    <w:p>
      <w:r>
        <w:rPr>
          <w:b/>
        </w:rPr>
        <w:t>E. 9</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(vgl. BVGE 2010/45 E. 10).</w:t>
      </w:r>
    </w:p>
    <w:p>
      <w:r>
        <w:rPr>
          <w:b/>
        </w:rPr>
        <w:t>E. 10</w:t>
      </w:r>
    </w:p>
    <w:p>
      <w:r>
        <w:t>Nach dem Gesagten erübrigt es sich, auf die weiteren Ausführungen in der Rechtsmitteleingabe sowie die eingereichten Beweismittel näher einzugehen. Die Beschwerde ist abzuweisen, soweit darauf einzutreten ist, und die Verfügung der Vorinstanz ist zu bestätigen.</w:t>
      </w:r>
    </w:p>
    <w:p>
      <w:r>
        <w:rPr>
          <w:b/>
        </w:rPr>
        <w:t>E. 11</w:t>
      </w:r>
    </w:p>
    <w:p>
      <w:r>
        <w:t>Das Beschwerdeverfahren ist mit vorliegendem Urteil in der Hauptsache abgeschlossen, weshalb sich die Anträge, es sei auf die Erhebung eines Kostenvorschusses zu verzichten und der Beschwerde sei die aufschiebende Wirkung zu erteilen, gegenstandslos geworden sind. Auf die nicht näher individualisierten weiteren Beschwerdeanträge (Ziffer 6 und 7) ist nicht näher einzugehen, da seitens der Vorinstanz nicht über das Vorliegen der Flüchtlingseigenschaft befunden wurde (vgl. Art. 97 Abs. 2 AsylG).</w:t>
      </w:r>
    </w:p>
    <w:p>
      <w:r>
        <w:rPr>
          <w:b/>
        </w:rPr>
        <w:t>E. 12</w:t>
      </w:r>
    </w:p>
    <w:p>
      <w:r>
        <w:t>Die mit der Beschwerde gestellten Gesuche um Gewährung der unentgeltlichen Rechtspflege sind abzuweisen, da die Voraussetzungen nicht erfüllt sind, nachdem die Beschwerde - wie sich aus den vorstehenden Erwägungen ergibt - als aussichtlos zu bezeichnen war (Art. 65 Abs. 1 und 2 VwVG). 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