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E-4967/2008 vom 6. Juli 2011</w:t>
      </w:r>
    </w:p>
    <w:p>
      <w:r>
        <w:t>Bundesverwaltungsgericht, 2011-07-06, FR</w:t>
      </w:r>
    </w:p>
    <w:p>
      <w:r>
        <w:rPr>
          <w:b/>
        </w:rPr>
        <w:t xml:space="preserve">Quelle: </w:t>
      </w:r>
      <w:r>
        <w:t>https://mcp.opencaselaw.ch/entscheid/bvger_E-4967_2008</w:t>
      </w:r>
    </w:p>
    <w:p>
      <w:r>
        <w:t>FR: TAF E-4967/2008 du 6 juillet 2011</w:t>
      </w:r>
    </w:p>
    <w:p>
      <w:r>
        <w:t>IT: TAF E-4967/2008 del 6 luglio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en l'absence d'une demande d'extradition déposée par l'Etat dont les recourants cherchent à se protéger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w:t>
      </w:r>
    </w:p>
    <w:p>
      <w:r>
        <w:t>Seul l'ordre d'exécuter le renvoi est contesté par les recourants. Aussi, sur les autres points de son dispositif, la décision attaquée est entrée en force de chose décidée.</w:t>
      </w:r>
    </w:p>
    <w:p>
      <w:r>
        <w:rPr>
          <w:b/>
        </w:rPr>
        <w:t>E. 3</w:t>
      </w:r>
    </w:p>
    <w:p>
      <w:r>
        <w:t>Lorsqu'il rejette la demande d'asile ou qu'il refuse d'entrer en matière, l'office prononce, en règle générale, le renvoi de Suisse et en ordonne l'exécution ; il tient compte du principe de l'unité de la famille (art. 44 al. 1 LAsi).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4.3</w:t>
      </w:r>
    </w:p>
    <w:p>
      <w:r>
        <w:t>En l'occurrence, l'exécution du renvoi des recourants ne contrevient pas au principe de non-refoulement de l'art. 5 LAsi puisque ceux-ci n'ont pas contesté le refus de reconnaissance de leur qualité de réfugié au sens de l'art. 3 LAsi.</w:t>
      </w:r>
    </w:p>
    <w:p>
      <w:r>
        <w:rPr>
          <w:b/>
        </w:rPr>
        <w:t>E. 4.4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4.5</w:t>
      </w:r>
    </w:p>
    <w:p>
      <w:r>
        <w:t>En l'occurrence, les recourants n'ont pas démontré à satisfaction de droit qu'il existait pour eux un risque réel, fondé sur des motifs sérieux et avérés, d'être victimes de torture ou encore d'un traitement inhumain ou dégradant au sens de l'art. 3 CEDH en cas de refoulement en Fédération de Bosnie et Herzégovine. Certes, et contrairement à l'ODM, le Tribunal admet qu'en République serbe de Bosnie les recourants sont, compte tenu de leur appartenance ethnique, de leur ascendance et descendance familiales, de leur âge, et de leur provenance géographique locale, exposés à un risque concret et sérieux de mauvais traitements de la part de particuliers, sans possibilité d'obtenir une protection appropriée des autorités de l'entité serbe. En revanche, ce risque est limité à la République serbe de Bosnie, plus précisément à la région de Srebrenica dont ils proviennent. Les recourants avaient avant leur départ du pays et ont encore aujourd'hui la possibilité d'échapper à tout nouvelle menace concrète et avérée en retournant s'installer dans la Fédération de Bosnie et Herzégovine ; cette réinstallation peut s'y faire en sécurité et avec dignité. En effet, à en croire leurs déclarations, nonobstant le fait qu'ils ont bénéficié en 2005, en tant que personnes déplacées de Srebrenica, d'une aide au retour sur leur lieu de "résidence habituelle" (cf. la notion de personne déplacée telle que définie à l'art. 4 de la loi relative aux réfugiés de Bosnie et Herzégovine et aux personnes déplacées en Bosnie et Herzégovine, en ligne sur http://www.internal-displacement.org &gt; Countries &gt; Europe &gt; Bosnia and Herzegovina &gt; National and International Responses &gt; Legal framework &gt; IDP legislation at State and Entity Level and reconstruction instructions, consulté le 1.6.2011) sous la forme de la reconstruction du logement de la mère du recourant en République serbe de Bosnie, ils ont pu vivre encore deux ans à F._______. En outre, un grand nombre de personnes de retour dans leur région d'origine (en particulier des Musulmans de la République serbe de Bosnie), se sont heurtées à des obstacles (par exemple, accès limité aux prestations sociales [soins de santé, pensions, aides aux personnes de retour et éducation] ; discrimination dans l'emploi ; problèmes d'accès aux services d'utilité publique indispensables, tels que les services d'électricité, d'eau et de téléphone, ainsi que les travaux d'infrastructure ; intimidations) et ont décidé de quitter à nouveau leur domicile d'avant-guerre grâce à la liberté d'établissement reconnue aux citoyens (cf. Bosnia and Herzegovina, Ministry for Human Rights and Refugees, Revised strategy of Bosnia and Herzegovina for the Implementation of Annex VII of the Dayton Peace Agreement, Sarajevo, October 2008, pp 21 et 29, et June 2010, pp 19 et 27 ; Internal Displacement Monitoring Centre [ci-après : IDMC], Bosnia and Herzegovina: Broader and improved support for durable solutions required, 28 August 2008, p. 4ss ; Conseil de l'Europe, Rapports du 20 février 2008, respectivement du 29 mars 2011, du Haut Commissaire aux Droits de l'Homme, M. Thomas Hammarberg, sur ses visites en Bosnie-Herzégovine du 4 au 11 juin 2007, respectivement du 27 au 30 novembre 2010, CommDH[2008]1, respectivement CommDH[2011]11, par. 57 ss, respectivement par. 87 ss ; Conseil de l'Europe, Commission européenne contre le racisme et l'intolérance, Report on Bosnia and Herzegovina [fourth monitoring cycle], adopté le 7 décembre 2010 et publié le 8 février 2011, CRI[2011]2, par. 61 ss, en part. par. 95 ; Conseil des droits de l'homme de l'ONU, Résumé établi par le Haut Commissariat aux Droits de l'Homme conformément au paragraphe 15 c] de l'annexe à la résolution 5/1 du Conseil des droits de l'homme, Bosnie-Herzégovine, 26 novembre 2009, A/HRC/WG.6/7/BIH/3, par. 12). De plus, le 24 juin 2010, le parlement bosniaque a adopté la Stratégie révisée au retour, laquelle, contrairement à la pratique précédente, reconnaît un besoin d'assistance à l'intégration locale (sur le lieu de déplacement) pour les personnes déplacées qui choisissent de ne pas retourner à leur domicile d'avant-guerre (cf. US Department of State, 2010 Human Rigths Report: Bosnia and Herzegovina, 8 avril 2011). Ainsi, même si les recourants ont vécu sur leur lieu de "résidence habituelle" en République serbe de Bosnie durant quatre mois avant d'être contraints de le quitter, il peut raisonnablement être admis qu'ils pourront s'installer durablement en Fédération de Bosnie et Herzégovine, ce d'autant plus que, selon leurs déclarations, ils y étaient enregistrés comme résidants jusqu'à leur départ du pays. Enfin, conformément à la jurisprudence, la question de l'exigibilité du séjour sur le lieu de refuge interne sera analysée à la seule lumière de l'art. 83 al. 4 LEtr (cf. JICRA 1996 no 1 consid. 5d).</w:t>
      </w:r>
    </w:p>
    <w:p>
      <w:r>
        <w:rPr>
          <w:b/>
        </w:rPr>
        <w:t>E. 4.6</w:t>
      </w:r>
    </w:p>
    <w:p>
      <w:r>
        <w:t>Il ne ressort pas non plus de l'examen du dossier que l'exécution du renvoi des recourants en Fédération de Bosnie et Herzégovine pourrait les exposer à un traitement contraire à l'art. 3 Conv. torture précité.</w:t>
      </w:r>
    </w:p>
    <w:p>
      <w:r>
        <w:rPr>
          <w:b/>
        </w:rPr>
        <w:t>E. 4.7</w:t>
      </w:r>
    </w:p>
    <w:p>
      <w:r>
        <w:t>Dès lors, l'exécution du renvoi des recourants sous forme de refoulement ne transgresse aucun engagement de la Suisse relevant du droit international, de sorte qu'elle s'avère licite (cf. art. 44 al. 2 LAsi et art. 83 al. 3 LEtr).</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2009/52 consid. 10.1,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 JICRA 1998 n° 22).</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w:t>
      </w:r>
    </w:p>
    <w:p>
      <w:r>
        <w:rPr>
          <w:b/>
        </w:rPr>
        <w:t>E. 5.3.1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5.3.2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5.4</w:t>
      </w:r>
    </w:p>
    <w:p>
      <w:r>
        <w:t>S'agissant des possibilités de traitement des personnes traumatisées, force est de reconnaître que, s'il existe dans la Fédération croato-musulmane de Bosnie et Herzégovine des institutions et du personnel spécialisés, ainsi que des médicaments, voire des possibilités de suivre des thérapies,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Ainsi, pour les personnes atteintes de troubles psychiques d'ordre traumatique d'une telle intensité qu'elles ont impérativement besoin d'un suivi médical (psychiatrique et psychothérapeutique) spécifique important et de longue durée, les possibilités de traitement sont actuellement toujours et encore aléatoires et les frais en découlant sont en partie à leur charge. La situation n'a pas évolué de manière significative ces dernières années (cf. arrêt du Tribunal administratif fédéral E-5725/2006 du 11 octobre 2010 consid. 4.4 et les arrêts cités).</w:t>
      </w:r>
    </w:p>
    <w:p>
      <w:r>
        <w:rPr>
          <w:b/>
        </w:rPr>
        <w:t>E. 5.5</w:t>
      </w:r>
    </w:p>
    <w:p>
      <w:r>
        <w:t>En l'espèce, il ressort certes du certificat médical non daté, portant sur l'examen médical du 11 juin 2008, déposé à l'appui du recours que le recourant souffrait alors de troubles de l'humeur pour lesquels il bénéficiait d'un traitement psychothérapeutique hebdomadaire. Toutefois, l'état des faits pertinents pour l'examen des obstacles à l'exécution du renvoi est celui qui existe au moment de la prise de décision (cf. ATAF 2009/52 consid. 10.3 et juris. cit.). Or, nonobstant le fait qu'il y ait été invité, le recourant n'a pas fourni de certificat médical récent, de sorte qu'il est censé ne plus nécessiter de suivi médical (cf. art. 23 PA). Il n'a donc pas établi souffrir à l'heure actuelle d'un grave trouble psychique. Partant, son état de santé actuel ne constitue pas un motif d'inexigibilité de l'exécution de son renvoi. S'agissant de la recourante, il y a lieu de relever qu'elle a pu bénéficier en Suisse d'un traitement psychothérapeutique durant trois ans, de sorte qu'elle a également vu son état de santé psychique s'améliorer. Selon le certificat médical du 31 mars 2011, elle souffre de "séquelles" d'un état de stress post-traumatique (CIM-10 F43.1) et d'un trouble anxieux et dépressif mixte (CIM-10 F41.2) et elle ne nécessite plus que des entretiens psychothérapeutiques ponctuels. Elle n'est donc actuellement pas atteinte de troubles psychiques d'une telle intensité qu'elle a impérativement besoin d'un suivi médical spécifique, important et de longue durée. Même si, compte tenu de sa grande vulnérabilité au stress, l'échec de son projet migratoire peut entraîner chez elle une aggravation de la symptomatologie de la lignée anxio-dépressive, son médecin n'a pas pronostiqué une aggravation importante de cette symptomatologie en cas de retour en Fédération de Bosnie et Herzégovine ; il s'est borné à contre-indiquer un retour dans la région de Srebrenica afin d'éviter une retraumatisation. En faveur d'un pronostic plutôt favorable en cas de retour en Fédération de Bosnie et Herzégovine, il y a de plus lieu de prendre en considération le fait que, selon ses déclarations, elle y a vécu douze ans sans être entravée dans son fonctionnement par des troubles psychiques d'ordre traumatique, lesquels ne se sont déclarés qu'à son retour dans la région de Srebrenica. Par conséquent, elle n'est actuellement pas atteinte de troubles psychiques d'ordre traumatique d'une intensité telle qu'ils s'opposeraient en soi à l'exécution de son renvoi en Fédération de Bosnie et Herzégovine. En outre, il ne ressort du certificat médical du 31 mars 2011 ni que l'enfant D._______ est encore atteint de troubles du fonctionnement ni qu'il nécessite encore un quelconque traitement pour de tels troubles. Il n'est donc pas établi que cet enfant souffre d'un grave état de santé ni qu'il nécessite un quelconque traitement médical. Son état de santé ne fait donc pas obstacle à l'exécution de son renvoi.</w:t>
      </w:r>
    </w:p>
    <w:p>
      <w:r>
        <w:rPr>
          <w:b/>
        </w:rPr>
        <w:t>E. 5.6</w:t>
      </w:r>
    </w:p>
    <w:p>
      <w:r>
        <w:t>Les recourants sont jeunes et ont vécu pendant douze ans en Fédération de Bosnie et Herzégovine. En cas de retour, le recourant pourrait mettre à profit son expérience professionnelle dans le domaine de (...) et son épouse sa formation dans le domaine de (...). Ils sont de plus censés pouvoir compter à leur retour sur l'aide des membres de leur famille sur place, en particulier dans la région de Sarajevo, et de leur réseau social. Il y a donc tout lieu de penser qu'en cas de retour dans cette entité, les recourants seraient en mesure de retrouver les moyens de subvenir à leurs besoins et à ceux de leurs enfants. Ils pourront en outre solliciter auprès des autorités cantonales compétentes une aide au retour individuelle pour faciliter leur réinstallation (cf. art. 93 LAsi et art. 73 à 78 de l'ordonnance 2 sur l'asile relative au financement du 11 août 1999 [OA 2, RS 142.312]). Enfin, âgés de (...) et (...) ans, leurs enfants sont tous deux dans un âge où ils peuvent encore s'adapter et où ils n'ont pas encore développé de liens spécialement étroits avec la Suisse (cf. dans ce sens, arrêt du Tribunal fédéral 2C_118/2007 du 27 juillet 2007 consid. 5.1 ; JICRA 2005 n° 6 consid. 6 et JICRA 1998 n° 31). Aussi, le facteur lié à la déstabilisation d'enfants aussi jeunes, en raison du changement de pays, n'est pas pertinent, en l'absence d'un déracinement d'avec leur pays d'origine au sens que donne à cette expression la jurisprudence (cf. ATAF 2009/51 consid. 5.6, ATAF 2009/28 consid. 9.3.2 et réf. cit.).</w:t>
      </w:r>
    </w:p>
    <w:p>
      <w:r>
        <w:rPr>
          <w:b/>
        </w:rPr>
        <w:t>E. 5.7</w:t>
      </w:r>
    </w:p>
    <w:p>
      <w:r>
        <w:t>En définitive, il n'existe aucun élément concret et sérieux permettant d'admettre, avec le degré de preuve fixé à l'art. 7 LAsi, qu'à leur retour en Fédération de Bosnie et Herzégovine, les recourants ou leurs enfants soient soumis à un danger concret, conforme aux exigences de la jurisprudence.</w:t>
      </w:r>
    </w:p>
    <w:p>
      <w:r>
        <w:rPr>
          <w:b/>
        </w:rPr>
        <w:t>E. 5.8</w:t>
      </w:r>
    </w:p>
    <w:p>
      <w:r>
        <w:t>Pour ces motifs, l'exécution du renvoi doit être considérée comme raisonnablement exigible.</w:t>
      </w:r>
    </w:p>
    <w:p>
      <w:r>
        <w:rPr>
          <w:b/>
        </w:rPr>
        <w:t>E. 6.1</w:t>
      </w:r>
    </w:p>
    <w:p>
      <w:r>
        <w:t>L'exécution n'est pas possible lorsque l'étranger ne peut pas quitter la Suisse pour son Etat d'origine, son Etat de provenance ou un Etat tiers, ni être renvoyé dans un de ces Etats (art. 83 al. 2 LEtr).</w:t>
      </w:r>
    </w:p>
    <w:p>
      <w:r>
        <w:rPr>
          <w:b/>
        </w:rPr>
        <w:t>E. 6.2</w:t>
      </w:r>
    </w:p>
    <w:p>
      <w:r>
        <w:t>En l'occurrence, les recourants sont en possession de documents suffisants pour rentrer dans leur pays ou, à tout le moins, sont tenus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7.1</w:t>
      </w:r>
    </w:p>
    <w:p>
      <w:r>
        <w:t>Cela étant, l'exécution du renvoi doit être déclarée conforme aux dispositions légales.</w:t>
      </w:r>
    </w:p>
    <w:p>
      <w:r>
        <w:rPr>
          <w:b/>
        </w:rPr>
        <w:t>E. 7.2</w:t>
      </w:r>
    </w:p>
    <w:p>
      <w:r>
        <w:t>Il s'ensuit que le recours doit être rejeté. Au vu de l'issue de la cause, il y aurait certes lieu de mettre les frais de procédure à la charge des recourants, conformément à l'art. 63 al. 1 PA et aux art. 2 et 3 let. b du règlement du 21 février 2008 concernant les frais, dépens et indemnités fixés par le Tribunal administratif fédéral (FITAF, RS 173.320.2). La demande d'assistance judiciaire partielle devant toutefois être admise,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