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E-4966/2024 vom 2. August 2024</w:t>
      </w:r>
    </w:p>
    <w:p>
      <w:r>
        <w:t>Bundesverwaltungsgericht, 2024-08-02, DE</w:t>
      </w:r>
    </w:p>
    <w:p>
      <w:r>
        <w:rPr>
          <w:b/>
        </w:rPr>
        <w:t xml:space="preserve">Quelle: </w:t>
      </w:r>
      <w:r>
        <w:t>https://mcp.opencaselaw.ch/entscheid/bvger_E-4966_2024_d20240802</w:t>
      </w:r>
    </w:p>
    <w:p>
      <w:r>
        <w:t>FR: TAF E-4966/2024 du 2 août 2024</w:t>
      </w:r>
    </w:p>
    <w:p>
      <w:r>
        <w:t>IT: TAF E-4966/2024 del 2 agosto 2024</w:t>
      </w:r>
    </w:p>
    <w:p>
      <w:pPr>
        <w:pStyle w:val="Heading2"/>
      </w:pPr>
      <w:r>
        <w:t>Regeste</w:t>
      </w:r>
    </w:p>
    <w:p>
      <w:r>
        <w:t>Asyl und Wegweisung (beschleunigtes Verfahren) | Asyl und Wegweisung (beschleunigtes Verfahren); Verfügung des SEM vom 2.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fristgerecht eingereicht worden. Zwar erweist sich das vorformulierte Rechtsbegehren – nach Aufhebung des Entscheides sei das Asylgesuch vom SEM in der Schweiz zu prüfen – zumindest als unge- nau. Aus der Begründung ist jedoch klar ersichtlich, dass der Beschwerde- führer die Gewährung von Asyl in der Schweiz beantragt. Angesichts des- sen und dem Umstand, dass es sich um eine Laienbeschwerde, die aus- serdem mittels Formular erhoben wird, kann auf die Einholung einer Be- schwerdeverbesserung verzichtet und die Beschwerde auch als der Form genügend erachtet werden, zumal dem Beschwerdeführer durch dieses Vorgehen kein Nachteil entsteht. Der Beschwerdeführer hat sodann am Verfahren vor der Vorinstanz teilgenommen, ist durch die angefochtene Verfügung besonders berührt und hat ein schutzwürdiges Interesse an de- ren Aufhebung beziehungsweise Änderung. Er ist daher zur Einreichung der Beschwerde legitimiert (Art. 105 und Art. 108 Abs. 1 AsylG; Art. 48 Abs. 1 sowie Art. 52 Abs. 1 VwVG). Auf die Beschwerde ist – vorbehältlich des unter E. 1.3 Gesagten – einzu- treten.</w:t>
      </w:r>
    </w:p>
    <w:p>
      <w:r>
        <w:t>E-4966/2024 Seite 4</w:t>
      </w:r>
    </w:p>
    <w:p>
      <w:r>
        <w:rPr>
          <w:b/>
        </w:rPr>
        <w:t>E. 1.3</w:t>
      </w:r>
    </w:p>
    <w:p>
      <w:r>
        <w:t>Nachdem der Beschwerde von Gesetzes wegen aufschiebende Wir- kung zukommt (Art. 55 Abs. 1 VwVG) und das SEM diese auch nicht ent- zogen hat, ist auf den Verfahrensantrag auf Erteilung der aufschiebenden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dass die vom Beschwerdeführer vorgebrachten Übergriffe durch Dritte oder</w:t>
      </w:r>
    </w:p>
    <w:p>
      <w:r>
        <w:t>E-4966/2024 Seite 5 Befürchtungen, künftig solchen ausgesetzt zu sein, nur dann flüchtlings- rechtlich relevant seien, wenn der Heimatstaat nicht schutzwillig und schutzfähig sei. Die algerischen Sicherheitsbehörden seien aber gemäss Erkenntnissen der Asylbehörden grundsätzlich in der Lage, hinreichenden Schutz vor nicht-staatlicher Verfolgung zu gewährleisten. Soweit der Be- schwerdeführer vorgebracht habe, sich an die Polizei gewandt zu haben, diese aber nichts unternommen habe und er Korruption hinter dem Verhal- ten vermute, stellte das SEM fest, es bestehe die Möglichkeit, gegen fehl- bare Beamte auf dem Rechtsweg vorzugehen. Ausserdem sei die Polizei gemäss Angaben des Beschwerdeführers nicht untätig geblieben, sondern habe durchaus im Zusammenhang mit dem Angriff auf seinen Bruder Er- mittlungen eingeleitet. Dass die Angreifer umfassenden Einfluss auf die Polizeibehörden hätten und der Beschwerdeführer deswegen keinen Schutz erhalten habe, sei eine blosse, nicht weiter belegte Vermutung. Oh- nehin liege der geschilderten Verfolgung seiner Familie durch die Kriminel- len kein flüchtlingsrechtlich relevantes Motiv zugrunde. Schliesslich hätten zwar er und seine Familie nach dem Vorfall ihren Heimatort verlassen, gleichzeitig sei seinem Bruder aber seit dem Überfall im Juni 2021 nichts mehr zugestossen. Gemäss Stellungnahme zum Entscheidentwurf sei die Familie des Beschwerdeführers vor drei Monaten zwar erneut gezwungen gewesen, umzuziehen. Selbst bei unterstellter Glaubhaftigkeit dieses neuen Vorbringens vermöge dies aber nichts an der vorliegenden Ein- schätzung zu ändern.</w:t>
      </w:r>
    </w:p>
    <w:p>
      <w:r>
        <w:rPr>
          <w:b/>
        </w:rPr>
        <w:t>E. 5.2</w:t>
      </w:r>
    </w:p>
    <w:p>
      <w:r>
        <w:t>Dem wird in der Beschwerde entgegnet, dass der Beschwerdeführer aufgrund des Angriffs auf seinen Bruder und aufgrund der Drogenproble- matik in seinem Quartier mehrfach die Polizei informiert und insgesamt vier Anzeigen erstattet habe, diese aber nichts unternommen habe. Die Polizei arbeite mit den kriminellen Banden zusammen. Er werde von den Krimi- nellen gesucht und mit dem Tod bedroht.</w:t>
      </w:r>
    </w:p>
    <w:p>
      <w:r>
        <w:rPr>
          <w:b/>
        </w:rPr>
        <w:t>E. 6.1</w:t>
      </w:r>
    </w:p>
    <w:p>
      <w:r>
        <w:t>Das Bundesverwaltungsgericht gelangt nach Prüfung der Akten zum Schluss, dass die Vorbringen des Beschwerdeführers den Anforderungen an die Flüchtlingseigenschaft nach Art. 3 AsylG nicht standzuhalten vermö- gen. Zur Vermeidung von Wiederholungen kann vollumfänglich auf die zu- treffenden Erwägungen des SEM (angefochtene Verfügung S. 3 ff. und E. 5.1 vorstehend) verwiesen werden. In der Beschwerdeeingabe wird nichts dargetan, was zu einer anderen Einschätzung führen könnte.</w:t>
      </w:r>
    </w:p>
    <w:p>
      <w:r>
        <w:t>E-4966/2024 Seite 6</w:t>
      </w:r>
    </w:p>
    <w:p>
      <w:r>
        <w:rPr>
          <w:b/>
        </w:rPr>
        <w:t>E. 6.2</w:t>
      </w:r>
    </w:p>
    <w:p>
      <w:r>
        <w:t>Insbesondere ist festzuhalten, dass ungeachtet der Frage der Glaub- haftigkeit der Vorbringen des Beschwerdeführers diesen keine Hinweise auf ein Verfolgungsmotiv im Sinne von Art. 3 Abs. 1 AsylG zu entnehmen sind. Ebenso wenig ist davon auszugehen, dass der Beschwerdeführer ei- ner landesweiten Verfolgung seitens der im Quartier tätigen Drogenbande ausgesetzt ist (vgl. dazu BVGE 2008/12 E. 7.2.6.1, BVGE 2008/4 E. 5.2). Er hätte sich demzufolge der Verfolgung innerstaatlich entziehen können, was er ja zunächst mit dem Wegzug nach D._______ auch getan hatte; dass er auch dort bedroht worden sei, bringt er nicht vor. Mutmasslich hätte er der geltend gemachten Verfolgung auch mit einer Niederlassung in ei- nem entfernteren Quartier der rund zwei Millionenstadt Algier ausweichen können, respektive kann er dies nach der Rückkehr tun. Dies ist ihm ange- sichts seiner persönlichen Umstände (vgl. nachfolgend E. 8.3.2) ohne wei- teres zumutbar.</w:t>
      </w:r>
    </w:p>
    <w:p>
      <w:r>
        <w:rPr>
          <w:b/>
        </w:rPr>
        <w:t>E. 6.3</w:t>
      </w:r>
    </w:p>
    <w:p>
      <w:r>
        <w:t>Es liegen mithin keine konkreten Hinweise dafür vor, dass der Be- schwerdeführer im Zeitpunkt seiner Ausreise einer flüchtlingsrechtlich rele- vanten Verfolgung oder einer entsprechenden Verfolgungsgefahr ausge- setzt war oder im Falle seiner Rückkehr nach Algerien ernsthafte Nachteile im Sinne von Art. 3 Abs. 2 AsylG zu gewärtigen hätte. Demnach hat die Vorinstanz zu Recht die Flüchtlingseigenschaft verneint und das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E-4966/2024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Al- gerien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E-4966/2024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Ebenso wenig lässt die allgemeine Menschenrechtssi- tuation im Heimatstaat den Wegweisungsvollzug zum heutigen Zeitpunkt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Algerien ist aktuell weder von Krieg, Bürger- krieg noch von einer Situation allgemeiner Gewalt gekennzeichnet (vgl. u.a. Urteil des BVGer D-5255/2022 von 12. Dezember 2022 E. 8.5 m.w.H.). Auch individuelle Gründe sprechen nicht gegen eine Wegweisung nach Al- gerien. Wie vom SEM zutreffend ausgeführt, handelt es sich beim Be- schwerdeführer um einen jungen und gesunden Mann, der über eine gute Schul- und Berufsbildung mit breiter Arbeitserfahrung sowie ein stabiles fa- miliäres Beziehungsnetz in seinem Heimatstaat verfügt (vgl. SEM-act. […]- 15/9 F12 ff., F20 ff.).</w:t>
      </w:r>
    </w:p>
    <w:p>
      <w:r>
        <w:rPr>
          <w:b/>
        </w:rPr>
        <w:t>E. 8.3.3</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E-4966/2024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E-4966/2024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