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E-4966/2016 vom 28. Mai 2018</w:t>
      </w:r>
    </w:p>
    <w:p>
      <w:r>
        <w:t>Bundesverwaltungsgericht, 2018-05-28, DE</w:t>
      </w:r>
    </w:p>
    <w:p>
      <w:r>
        <w:rPr>
          <w:b/>
        </w:rPr>
        <w:t xml:space="preserve">Quelle: </w:t>
      </w:r>
      <w:r>
        <w:t>https://mcp.opencaselaw.ch/entscheid/bvger_E-4966_2016</w:t>
      </w:r>
    </w:p>
    <w:p>
      <w:r>
        <w:t>FR: TAF E-4966/2016 du 28 mai 2018</w:t>
      </w:r>
    </w:p>
    <w:p>
      <w:r>
        <w:t>IT: TAF E-4966/2016 del 28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lehnte das Asylgesuch ab, da die Vorbringen des Beschwerdeführers weder den Anforderungen an das Glaubhaftmachen gemäss Art. 7 AsylG noch denjenigen an die Flüchtlingseigenschaft gemäss Art. 3 AsylG standhalten würden.</w:t>
      </w:r>
    </w:p>
    <w:p>
      <w:r>
        <w:rPr>
          <w:b/>
        </w:rPr>
        <w:t>E. 5.2</w:t>
      </w:r>
    </w:p>
    <w:p>
      <w:r>
        <w:t>Die Identität des Beschwerdeführers könne anhand der ausgehändigten Kopie einer Identitätskarte nicht überprüft werden. Zudem bestünden Zweifel an deren Echtheit, da der Beschwerdeführer angegeben habe, zum Zeitpunkt der Ausstellung der ID in C._______ in Haft gewesen zu sein. An anderer Stelle habe er angegeben, er habe sich die ID persönlich im (...) legal in F._______ ausstellen lassen. Gemäss seinen Ausführungen sei er aber erst im (...) 2009 beziehungsweise (...) 2009 aus der Haft entlassen worden. Zudem habe er ausgesagt, das Original seiner ID sei ihm im Gefängnis abgenommen worden. Seine Aussagen bezüglich der Identitätskarte seien unvereinbar und nicht nachvollziehbar. Weiter stellte die Vorinstanz fest, die Vorbringen des Beschwerdeführers zu seiner Haft und seiner Flucht aus C._______ seien nicht glaubhaft, da seine Ausführungen an der BzP, der Anhörung und der ergänzenden Anhörung widersprüchlich und unvereinbar ausgefallen seien. Er habe sich bezüglich der Gründe, der Dauer, des Ortes sowie der Umstände seiner Haft und der Gründe für die Entlassung widersprochen. Auch in Bezug auf die Zeit nach seiner Haftentlassung und insbesondere bezüglich seiner Desertion aus C._______ habe er unterschiedliche Angaben gemacht. In der BzP habe er angegeben, an einen Ausbildungsort 30 Minuten von C._______ entfernt geschickt worden zu sein, von wo ihm mit vier Freunden die Flucht gelungen sei. In der Bundesanhörung hingegen habe er angegeben, noch rund fünf Monate in C._______ geblieben zu sein. Dabei habe er aber keine militärische Ausbildung durchlaufen, sondern sei (...) zuständig gewesen. Im Laufe der Zeit sei ihm immer mehr vertraut worden und er habe Verschiedenes für sie besorgen müssen. In der ergänzenden Anhörung wiederum habe er ausgeführt, aufgrund seines Gesundheitszustandes habe er keine militärische Ausbildung durchlaufen und sei in den ersten zwei Monaten nach der Entlassung medizinisch betreut worden, habe dann als (...) und (...) gearbeitet und sei (...) 2008 oder (...) 2009 aus C._______ geflüchtet. Seine Aussagen zum Geschehen nach der Flucht seien ebenfalls widersprüchlich und damit nicht glaubhaft. An der Bundesanhörung habe er angegeben, er sei nach der Flucht aus C._______ einige Monate zu Hause geblieben, wobei während dieser Zeit nichts geschehen sei. Aus Furcht trotzdem entdeckt zu werden, sei er nach G._______ gegangen, um sich einerseits zu verstecken und andererseits die Familie finanziell zu unterstützen. In der ergänzenden Anhörung habe er hingegen ausgesagt, er habe nur eine Nacht bei seinen Eltern verbracht und sei danach nach G._______ gegangen. Nach seiner Hochzeit im Jahre 2011 seien seine Eltern wiederholt von den Behörden aufgesucht und nach ihm befragt worden. Diese Behördenkontakte habe er zuvor in keiner Weise erwähnt. Weiter habe er an der Bundesanhörung angegeben, er habe zwischen (...) und (...) 2013 drei Vorladungen erhalten, denen er keine Folge geleistet habe. Seine Frau sei deshalb im (...) 2014 inhaftiert worden. Da er gewusst habe, dass seine Ehefrau nicht lange in Haft bleiben müsse, habe er sich nicht gestellt und sei aus Eritrea ausgereist. Bei der ergänzenden Anhörung habe er hingegen vorgebracht, seine Ehefrau sei erst nach seiner Ausreise aus Eritrea inhaftiert worden und er habe erst in der Schweiz davon erfahren. Auf die unterschiedlichen Angaben angesprochen, habe der Beschwerdeführer lediglich erwidert, er habe dies nicht gesagt. Diese Erklärung sei tatsachenwidrig und vermöge nicht zu überzeugen. Eine Gesamtwürdigung führe zum Schluss, dass sich der Beschwerdeführer auf eine konstruierte und wenig plausible Asylbegründung stütze. Zu Art. 3 AsylG führte die Vorinstanz aus, die Vorbringen bezüglich der illegalen Ausreise seien asylrechtlich unbeachtlich.</w:t>
      </w:r>
    </w:p>
    <w:p>
      <w:r>
        <w:rPr>
          <w:b/>
        </w:rPr>
        <w:t>E. 6.1</w:t>
      </w:r>
    </w:p>
    <w:p>
      <w:r>
        <w:t>In der Rechtsmitteleingabe hält der Beschwerdeführer zunächst am Wahrheitsgehalt seiner Vorbringen fest. Damit rügt er sinngemäss, die Vor-instanz habe den Massstab des Glaubhaftmachens gemäss Art. 7 AsylG nicht richtig angewendet, mithin Bundesrecht verletzt. Die Vorinstanz hat in der angefochtenen Verfügung im Einzelnen ausführlich dargelegt, aus welchen Gründen die Vorbringen des Beschwerdeführers anlässlich der drei Befragungen offensichtlich unvereinbar sowie widersprüchlich und damit insgesamt nicht glaubhaft sind. Mit dem blossen Festhalten, er habe bei den Befragungen die Wahrheit gesagt und dem Hinweis darauf, dass die Inhaftierung sowie das sich Verstecken lange zurückliegen würden, legt er nicht substantiiert dar, inwiefern die Vorinstanz zu Unrecht auf Unglaubhaftigkeit geschlossen hat. Auch wenn sich die Ereignisse bereits vor einer gewissen Zeit zugetragen haben, darf vom Beschwerdeführer erwartet werden, dass er sich in den wesentlichen Punkten seiner Asylbegründung an den verschiedenen Befragungen grundsätzlich übereinstimmend äussert. Dies umso mehr, als er dabei über selbst Erlebtes zu berichten hat, das ihn immerhin dazu veranlasste, seine Familie und seine Heimat zu verlassen. Der Beschwerdeführer hat sich in allen wesentlichen Punkten seiner Vorbringen in jeder Hinsicht unvereinbar geäussert. Um Wiederholungen zu vermeiden, kann vollumfänglich auf die vorinstanzlichen Erwägungen verwiesen werden. Es ist ihm nicht gelungen, eine asylrechtlich relevante Gefährdung im Zeitpunkt seiner Ausreise aus Eritrea glaubhaft zu machen.</w:t>
      </w:r>
    </w:p>
    <w:p>
      <w:r>
        <w:rPr>
          <w:b/>
        </w:rPr>
        <w:t>E. 6.2.1</w:t>
      </w:r>
    </w:p>
    <w:p>
      <w:r>
        <w:t>Weiter hält der Beschwerdeführer daran fest, er sei illegal aus Eritrea ausgereist und erfülle deshalb die Voraussetzungen zur Anerkennung als Flüchtling.</w:t>
      </w:r>
    </w:p>
    <w:p>
      <w:r>
        <w:rPr>
          <w:b/>
        </w:rPr>
        <w:t>E. 6.2.2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6.2.3</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6.2.4</w:t>
      </w:r>
    </w:p>
    <w:p>
      <w:r>
        <w:t>In Anbetracht der geänderten Rechtsprechung kann die Frage nach der Glaubhaftigkeit der vom Beschwerdeführer geltend gemachten illegalen Ausreise vorliegend offen bleiben. Wie vorstehend unter Erwägung 6.1 ausgeführt, können ihm die Angaben im Zusammenhang mit dem Militärdienst und der Desertion nicht geglaubt werden. Andere Anknüpfungspunkte, welche ihn in den Augen des eritreischen Regimes als missliebige Person erscheinen lassen könnten, sind nicht ersichtlich und werden auch nicht geltend gemacht.</w:t>
      </w:r>
    </w:p>
    <w:p>
      <w:r>
        <w:rPr>
          <w:b/>
        </w:rPr>
        <w:t>E. 6.3</w:t>
      </w:r>
    </w:p>
    <w:p>
      <w:r>
        <w:t>Zusammenfassend ist es dem Beschwerdeführer nicht gelungen, eine relevante Verfolgungsgefahr darzutun und die Vorinstanz hat die Flüchtlingseigenschaft des Beschwerdeführers zu Recht verneint und sein Asylgesuch abgewiesen.</w:t>
      </w:r>
    </w:p>
    <w:p>
      <w:r>
        <w:rPr>
          <w:b/>
        </w:rPr>
        <w:t>E. 7</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8.2.2</w:t>
      </w:r>
    </w:p>
    <w:p>
      <w:r>
        <w:t>Im Referenzurteil D-2311/2016 vom 17. August 2017 befasste sich das Bundesverwaltungsgericht eingehend mit der Frage, ob im Zusammenhang mit dem eritreischen Nationaldienst eine Verletzung von Art. 3 EMRK drohe.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8.2.3</w:t>
      </w:r>
    </w:p>
    <w:p>
      <w:r>
        <w:t>Wie vorstehend dargelegt, vermochte der Beschwerdeführer eine Desertion nicht glaubhaft zu machen. Sodann war er bei der Ausreise aus Eritrea (...) Jahre alt. Vor diesem Hintergrund erscheint es als wahrscheinlich, dass er seine Dienstpflicht erfüllt hat und regulär aus dem Dienst entlassen wurde. Gemäss der aktualisierten Praxis des Bundesverwaltungsgerichts ist wie erwähnt (E. 8.2.2.2) davon auszugehen, dass eritreische Staatsangehörige, die ihre Dienstpflicht im Rahmen des Nationaldiensts erfüllt haben und danach aus Eritrea ausgereist sind, weder eine Strafe zu gewärtigen haben noch bei einer Rückkehr in ihren Heimatstaat erneut zum Nationaldienst eingezogen werden. Aufgrund der Angaben des Beschwerdeführers lässt sich nicht mit absoluter Gewissheit feststellen, ob er tatsächlich in diese Kategorie fällt. Den Asylbehörden ist es jedoch nicht möglich, sich in voller Kenntnis der tatsächlichen persönlichen Verhältnisse des Beschwerdeführers zur Zulässigkeit des Vollzugs der Wegweisung zu äussern, weil dieser unglaubhafte Angaben zu den Umständen seines Ausscheidens aus dem Militärdienst gemacht hat. Er hat die Folgen seiner mangelhaften Mitwirkung zu tragen, weshalb - unter Berücksichtigung des von ihm angegebenen Alters bei der Ausreise sowie mangels gegenteiliger Anhaltspunkte - davon auszugehen ist, er habe seine Dienstpflicht im Rahmen des eritreischen Nationaldienstes bereits erfüllt und sei erst danach aus Eritrea ausgereist. Weiter hält sich der Beschwerdeführer auch seit mehr als drei Jahren im Ausland auf und würde, sofern er seine Situation mit Eritrea regelt, die Voraussetzungen für den Erhalt des Diaspora-Status erfüllen. Es ist jedenfalls nicht mit überwiegender Wahrscheinlichkeit davon auszugehen, dass dem Beschwerdeführer bei einer Rückkehr in seinen Heimatstaat eine Einziehung in den Nationaldienst droht (vgl. dazu auch die Urteile des BVGer D-4472/2017 vom 26. März 2018 E. 7.5; E-1740/2016 vom 9. Februar 2018 E. 8.2.2.3, D-1888/2017 vom 7. Dezember 2017 E. 7.3.3; D-2784/2016 vom 30. November 2017 E. 5.2.3).</w:t>
      </w:r>
    </w:p>
    <w:p>
      <w:r>
        <w:rPr>
          <w:b/>
        </w:rPr>
        <w:t>E. 8.3</w:t>
      </w:r>
    </w:p>
    <w:p>
      <w:r>
        <w:t>Zusammenfassend ist der Vollzug der Wegweisung als zulässig zu qualifizieren. Nachdem von einer regulären Entlassung des Beschwerdeführers aus dem Militärdienst auszugehen ist, erübrigt sich auch die Prüfung der Frage der Vereinbarkeit eines zukünftigen Dienstes in der eritreischen Armee mit Art. 3 und Art. 4 EMRK.</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8.4.2</w:t>
      </w:r>
    </w:p>
    <w:p>
      <w:r>
        <w:t>Im bereits erwähnten Referenzurteil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8.4.3</w:t>
      </w:r>
    </w:p>
    <w:p>
      <w:r>
        <w:t>Der Beschwerdeführer ist heute (...) Jahre alt und gemäss seinen Angaben gesund. Seine Ehefrau lebt mit der gemeinsamen und einer weiteren Tochter des Beschwerdeführers aus einer früheren Beziehung sowie mit den Eltern des Beschwerdeführers zusammen in deren Haus. Zudem leben seinen Angaben zufolge seine drei Brüder, seine vier Schwestern sowie seine Schwiegereltern und die Geschwister seiner Ehefrau in Eritrea (vgl. SEM-Akten A7/13 Ziff. 3.01 und A20/19 F62). Damit verfügt er über ein bestehendes familiäres Beziehungsnetz. Es ist deshalb davon auszugehen, dass dem Beschwerdeführer mithilfe der familiären Unterstützung die soziale und wirtschaftliche Wiedereingliederung in die gesellschaftlichen Strukturen seiner Heimat gelingen wird. Damit sprechen keine individuellen Umstände gegen die Zumutbarkeit des Wegweisungsvollzuges, womit sich dieser als zumutbar erweist.</w:t>
      </w:r>
    </w:p>
    <w:p>
      <w:r>
        <w:rPr>
          <w:b/>
        </w:rPr>
        <w:t>E. 8.5</w:t>
      </w:r>
    </w:p>
    <w:p>
      <w:r>
        <w:t>Mit Blick auf die Möglichkeit des Vollzugs der Wegweisung im Sinn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wären die Kosten dem Beschwerdeführer aufzuerlegen (Art. 63 Abs. 1 und 5 VwVG). Indes wurde mit Zwischenverfügung vom 5. Oktober 2016 das Gesuch um Gewährung der unentgeltlichen Prozessführung im Sinn von Art. 65 Abs. 1 VwVG gutgeheissen, weshalb keine Kosten zu erheben sind.</w:t>
      </w:r>
    </w:p>
    <w:p>
      <w:r>
        <w:rPr>
          <w:b/>
        </w:rPr>
        <w:t>E. 10.2</w:t>
      </w:r>
    </w:p>
    <w:p>
      <w:r>
        <w:t>Der Beschwerdeführer hat die Beschwerdeschrift selbst verfasst. Mit Zwischenverfügung vom 17. Oktober 2016 wurde ihm Ass. jur. Christian Hoffs als amtlicher Rechtsbeistand bestellt. Mit Schreiben vom 13. Oktober 2016 hat dieser lediglich seine Mandatsübernahme angezeigt. Unter den gegebenen Umständen ist ihm durch das Gericht ein amtliches Honorar in der Höhe von Fr. 300.- auszurichten (vgl. für die Grundsätze der Bemessung der Parteientschädigung Art. 7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