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E-4962/2025 vom 7. August 2025</w:t>
      </w:r>
    </w:p>
    <w:p>
      <w:r>
        <w:t>Bundesverwaltungsgericht, 2025-08-07, DE</w:t>
      </w:r>
    </w:p>
    <w:p>
      <w:r>
        <w:rPr>
          <w:b/>
        </w:rPr>
        <w:t xml:space="preserve">Quelle: </w:t>
      </w:r>
      <w:r>
        <w:t>https://mcp.opencaselaw.ch/entscheid/bvger_E-4962_2025</w:t>
      </w:r>
    </w:p>
    <w:p>
      <w:r>
        <w:t>FR: TAF E-4962/2025 du 7 août 2025</w:t>
      </w:r>
    </w:p>
    <w:p>
      <w:r>
        <w:t>IT: TAF E-4962/2025 del 7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1.4</w:t>
      </w:r>
    </w:p>
    <w:p>
      <w:r>
        <w:t>Die beantragte Erteilung der aufschiebenden Wirkung erübrigt sich, da diese im vorliegenden Verfahren der Beschwerde von Gesetzes wegen zu- kommt (Art. 37 VGG in Verbindung mit Art. 55 Abs. 1 VwVG) und von der Vorinstanz nicht entzogen wurde. Auf den entsprechenden Verfahrensan- trag ist daher nicht einzutreten.</w:t>
      </w:r>
    </w:p>
    <w:p>
      <w:r>
        <w:t>E-4962/2025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den abweisenden Asylentscheid damit, dass die vom Beschwerdeführer geltend gemachten Schikanen, kurzfristigen Fest- nahmen und Schläge sowie die Aufforderungen als Spitzel zu arbeiten ge- mäss dessen Aussagen sich zwischen 2016 und 2021 abgespielt hätten und damit bereits einige Jahre zurückliegen würden. Sie würden auch in ihrer Art und Intensität nicht den Anforderungen an die Asylrelevanz nach</w:t>
      </w:r>
    </w:p>
    <w:p>
      <w:r>
        <w:t>E-4962/2025 Seite 6 dem AsylG genügen. Es lägen keine hinreichenden Anhaltspunkte vor, wo- nach dem Beschwerdeführer bei einer Rückkehr in die Türkei flüchtlings- relevante Nachteile drohen würden, insbesondere seien keine Risikofakto- ren ersichtlich. Auch nach Konsultation des Asyldossiers des Onkels des Beschwerdeführers (D._______) erfolge keine andere Einschätzung. Der Beschwerdeführer sei ein junger, gesunder und türkisch sprechender Mann ohne familiäre Verpflichtungen. Er verfüge über eine solide Schulbil- dung und ein familiäres Netzwerk in der Türkei. Ausserdem bestehe auch eine innerstaatliche Aufenthaltsalternative.</w:t>
      </w:r>
    </w:p>
    <w:p>
      <w:r>
        <w:rPr>
          <w:b/>
        </w:rPr>
        <w:t>E. 5.2</w:t>
      </w:r>
    </w:p>
    <w:p>
      <w:r>
        <w:t>Der Beschwerdeführer wendet dagegen vor Bundesverwaltungsgericht im Wesentlichen ein, das SEM habe die systematische Gewalt, Ausgangs- sperren, Folter, Hauszerstörungen und die politischen Repressionen in der Region Sirnak vollständig ignoriert und die damit einhergehenden Men- schenrechtsverletzungen gegenüber Kurden – die von Amnesty Internatio- nal, Human Rights Watch, UNHCR und Freedom House dokumentiert seien – unbeachtet gelassen. Er sei sodann auch durch seine familiären Bindungen besonders gefährdet, da sein Urgrossvater vom Staat als Ter- rorist stigmatisiert und getötet worden sei und zwei seiner Cousins in den Bergen bei den Guerillas aktiv seien. Der Entscheid des SEM verstosse gegen zahlreiche internationale Verpflichtungen der Schweiz wie Art. 33 der Genfer Flüchtlingskonvention (Abkommen vom 28. Juli 1951 über Rechtsstellung der Flüchtlinge, FK, [SR 0.142.30]), Art. 3 EMRK, Art. 3 der UN-Antifolterkonvention (UNO-Übereinkommen vom 10. Dezember 1984 gegen Folter und andere grausame, unmenschliche oder erniedrigende Behandlung oder Strafe, FOK, [SR 0.105]), Art. 3 und Art. 5 AsylG, Art. 83 Abs. 4 AIG und die UNHCR Richtlinien. Eine Rückkehr in ein wirtschaftlich instabiles Land, in dem die Inflation grassiere, die Jugendarbeitslosigkeit massiv sei und er keinerlei staatliche Unterstützung zu erwarten habe, sei nicht zumutbar. Nach dem Skandal über türkische Falschinformationen in Schweizer Asyl- verfahren (SEM Leaks 2023) sei sodann offenkundig geworden, dass das SEM gegenüber türkischen Asylsuchenden vermehrt restriktiv und skep- tisch urteile, unabhängig von der tatsächlichen Beweislage. Dieses struk- turelle Misstrauen dürfe nicht zu Lasten individueller Asylgesuche gehen.</w:t>
      </w:r>
    </w:p>
    <w:p>
      <w:r>
        <w:rPr>
          <w:b/>
        </w:rPr>
        <w:t>E. 6.1</w:t>
      </w:r>
    </w:p>
    <w:p>
      <w:r>
        <w:t>Nach Einsicht in die Beschwerde vom 4. Juli 2025 und der damit ein- gereichten Beilagen sowie der elektronischen Vorakten, die das vom Be- schwerdeführer eingereichte Akten- und Beweismittelverzeichnis</w:t>
      </w:r>
    </w:p>
    <w:p>
      <w:r>
        <w:t>E-4962/2025 Seite 7 einschliessen, kommt das Bundesverwaltungsgericht zum Schluss, dass der vorinstanzliche Entscheid im Asylpunkt vollumfänglich zu bestätigen ist und die vom Beschwerdeführer dagegen erhobenen Einwände nichts da- ran zu ändern vermögen. Entgegen der Ansicht des Beschwerdeführers hat das SEM im angefochtenen Entscheid seine individuelle Situation durchaus einer konkreten Würdigung unterzogen. Soweit der Beschwerdeführer der Vorinstanz ein strukturelles Misstrauen unterstellt und ihre Unvoreingenommenheit bemängelt, erweist sich seine Rüge als genereller Art und folglich als zu wenig substantiiert, weshalb sie nicht zu hören ist. Der Vorinstanz ist sodann zuzustimmen, wenn sie ausführt, die Aufforde- rungen zur Spitzeltätigkeit und die damit einhergehenden Drohungen be- ziehungsweise die entsprechenden Vorfälle seien letztmals im Jahr 2021 und damit bereits einige Jahre vor der Ausreise erfolgt. Ein allfälliger Kau- salzusammenhang ist damit auch nach Ansicht des Bundesverwaltungs- gerichts ohnehin unterbrochen worden. In Bezug auf das Vorbringen des Beschwerdeführers, er sei aufgrund sei- ner kurdischen Ethnie mehrfach staatlicher Repressalien ausgesetzt ge- wesen und werde dies auch im Falle seiner Rückkehr erneut sein, verkennt das Gericht zwar nicht, dass Angehörige der kurdischen Bevölkerung in der Türkei Schikanen und Benachteiligungen ausgesetzt sein können. In- dessen führen solche allgemein die kurdische Bevölkerungsgruppe betref- fenden Nachteile praxisgemäss nicht zur Anerkennung der Flüchtlingsei- genschaft, da sie mangels Intensität die Schwelle der Asylrelevanz im Sinne von Art. 3 AsylG in der Regel nicht erreichen. So wurde der Be- schwerdeführer offenbar immer einmal wieder von den Soldaten, Dorf- schützern und der Polizei für kurze Zeit aufgegriffen, wobei er auch Schläge und Drohungen erdulden musste, kam anschliessend jedoch wie- der frei und blieb in der Folge zeitweilig unbehelligt. Auch sind im Fall der Kurden in der Türkei die praxisgemäss sehr hohen Anforderungen an die Bejahung einer Kollektivverfolgung (vgl. BVGE 2013/11 E. 5.4.1 m.w.H.) nicht als erfüllt zu erachten, dies auch unter Berücksichtigung der aktuellen politischen Entwicklungen in der Türkei (vgl. statt vieler Referenzurteil des BVGer E-4103/2024 vom 8. November 2024 E. 7.1 und Urteile des BVGer D-1202/2025 vom 26. Juni 2025 E. 5.4, D-1605/2025 vom 22. April 2025 E. 7.5). Daran vermag auch der vom Beschwerdeführer eingereichte Be- richt 2025 der Organisation Freedom House und sein Verweis auf die La- geeinschätzungen von weiteren Organisationen nichts zu ändern.</w:t>
      </w:r>
    </w:p>
    <w:p>
      <w:r>
        <w:t>E-4962/2025 Seite 8 Des Weiteren ist der Vorinstanz zuzustimmen, dass die vom Beschwerde- führer erlittenen Schläge und verbalen Bedrohungen für diesen zwar be- lastend und beängstigend gewesen seien, insgesamt seien die Vorfälle aber nicht derart schwerwiegend und damit nicht asylrelevant gewesen. Selbst wenn der Urgrossvater des Beschwerdeführers in den Bergen um- gekommen und zwei seiner Cousins den Guerillas beigetreten sind, hat der Beschwerdeführer deswegen keine direkten persönlichen asylrelevanten Nachteile erlitten. Es besteht zu all diesen Personen denn auch kein enger persönlicher Kontakt. Insbesondere der Urgrossvater ist bereits geraume Zeit vor der Geburt des Beschwerdeführers gestorben. Anzeichen für eine sogenannte Reflexverfolgung des Beschwerdeführers (zum Begriff siehe BVGE 2007/19 E. 3.3 S. 225, unter Hinweis auf Entscheidungen und Mit- teilungen der Schweizerischen Asylrekurskommission [EMARK] 1994 Nr. 5) – wie das der Beschwerdeführer sinngemäss geltend macht – sind denn auch nicht ersichtlich, zumal der Beschwerdeführer nach seinen kur- zen Festnahmen stets wieder freigekommen und auch über längere Zeit unbehelligt geblieben ist.</w:t>
      </w:r>
    </w:p>
    <w:p>
      <w:r>
        <w:rPr>
          <w:b/>
        </w:rPr>
        <w:t>E. 6.2</w:t>
      </w:r>
    </w:p>
    <w:p>
      <w:r>
        <w:t>Zusammenfassend ergeben sich aus den Akten keine Anhaltspunkte, wonach der Beschwerdeführer im Zeitpunkt seiner Ausreise von flücht- lingsrechtlich relevanten Massnahmen betroffen war oder bei einer Rück- kehr in die Türkei einer flüchtlingsrechtlich relevanten Gefahr ausgesetzt wäre. Die Vorinstanz hat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E-4962/2025 Seite 9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8.2.3</w:t>
      </w:r>
    </w:p>
    <w:p>
      <w:r>
        <w:t>Gemäss Art. 25 Abs. 3 BV, Art. 3 FoK und der Praxis zu Art. 3 EMRK darf niemand der Folter oder unmenschlicher oder erniedrigender Strafe oder Behandlung unterworfen werden.</w:t>
      </w:r>
    </w:p>
    <w:p>
      <w:r>
        <w:rPr>
          <w:b/>
        </w:rPr>
        <w:t>E. 8.2.4</w:t>
      </w:r>
    </w:p>
    <w:p>
      <w:r>
        <w:t>Vorab ist darauf hinzuweisen, dass das SEM in seiner Verfügung vom 6. Juni 2025 den Vollzug der Wegweisung zu einem Zeitpunkt beurteilt hat, als der am (…) 2006 geborene Beschwerdeführer bereits volljährig war und damit nicht mehr als unbegleitete minderjährige Person (UMA) galt. Die mit Blick auf die Anordnung des Vollzugs der Wegweisung gemäss Art. 3 des Übereinkommens über die Rechte des Kindes vom 20. November 1989 (Kinderrechtskonvention [KRK], SR 0.107) sowie Art. 69 Abs. 4 AIG bei UMA zu beachtenden Grundsätze (vgl. BVGE 2021 VI/3 E. 11.5.2 m.w.H.) gelangen für den Beschwerdeführer somit nicht (mehr) zur Anwendung (Urteil des BVGer D-1723/2024 vom 5. Juni 2025 E. 5.2.2).</w:t>
      </w:r>
    </w:p>
    <w:p>
      <w:r>
        <w:rPr>
          <w:b/>
        </w:rPr>
        <w:t>E. 8.2.5</w:t>
      </w:r>
    </w:p>
    <w:p>
      <w:r>
        <w:t>Die Vorinstanz wies in ihrer angefochtenen Verfügung sodann zutref- fend darauf hin, dass das Prinzip des flüchtlingsrechtlichen Non-Refoule- 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w:t>
      </w:r>
    </w:p>
    <w:p>
      <w:r>
        <w:t>E-4962/2025 Seite 10 Verfahren keine Anwendung finden. Eine Rückkehr des Beschwerde- führers in den Heimatstaat ist demnach unter dem Aspekt von Art. 5 AsylG rechtmässig.</w:t>
      </w:r>
    </w:p>
    <w:p>
      <w:r>
        <w:rPr>
          <w:b/>
        </w:rPr>
        <w:t>E. 8.2.6</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8.2.7</w:t>
      </w:r>
    </w:p>
    <w:p>
      <w:r>
        <w:t>Nach dem Gesagten sind die entsprechenden Einwände des Be- schwerdeführers zur Verletzung von nationalem und internationalem Recht nicht zu hören und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in der Beschwerde erhobene Einwand, wonach die Vorinstanz die allgemeine Lage in der Türkei, insbesondere der Provinzen Sirnak nicht berücksichtigt habe, erweist sich als unbehelflich. Vielmehr geht aus der aktuellen Rechtsprechung des Gerichts hervor, dass in der Türkei auf dem ganzen Staatsgebiet nicht von einer Situation allgemeiner Gewalt oder bür- gerkriegsähnlichen Verhältnissen auszugehen ist, auch nicht für Angehö- rige der kurdischen Ethnie aus der besagten Provinz (vgl. Referenzurteil des BVGer E-4103/2024 vom 8. November 2024 E. 13.2 und 13.4 m.w.H.; Urteil des BVGer E-551/2025 vom 26. Juni 2025 E. 7.3.3).</w:t>
      </w:r>
    </w:p>
    <w:p>
      <w:r>
        <w:t>E-4962/2025 Seite 11 Auch in individueller Hinsicht sind in Übereinstimmung mit der Vorinstanz keine Gründe ersichtlich, die gegen die Zumutbarkeit der Wegweisung sprechen. Die in diesem Zusammenhang erhobenen Einwände des Be- schwerdeführers betreffend die Inflation und Jugendarbeitslosigkeit sind pauschaler Art und treffen ihn nicht anders als die anderen jungen Erwach- senen in der Türkei.</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Der Eventualantrag ist abzuweisen.</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innert der im Dispositiv anzusetzenden Frist zu begleichen.</w:t>
      </w:r>
    </w:p>
    <w:p>
      <w:r>
        <w:t>(Dispositiv nächste Seite)</w:t>
      </w:r>
    </w:p>
    <w:p>
      <w:r>
        <w:t>E-4962/2025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