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E-4962/2008 vom 12. Mai 2011</w:t>
      </w:r>
    </w:p>
    <w:p>
      <w:r>
        <w:t>Bundesverwaltungsgericht, 2011-05-12, FR</w:t>
      </w:r>
    </w:p>
    <w:p>
      <w:r>
        <w:rPr>
          <w:b/>
        </w:rPr>
        <w:t xml:space="preserve">Quelle: </w:t>
      </w:r>
      <w:r>
        <w:t>https://mcp.opencaselaw.ch/entscheid/bvger_E-4962_2008</w:t>
      </w:r>
    </w:p>
    <w:p>
      <w:r>
        <w:t>FR: TAF E-4962/2008 du 12 mai 2011</w:t>
      </w:r>
    </w:p>
    <w:p>
      <w:r>
        <w:t>IT: TAF E-4962/2008 del 12 maggio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33 let. d LTAF (applicable par renvoi de l'art. 105 LAsi). En cette matière, celui-ci statue de manière définitive, sauf demande d'extradition déposée par l'Etat dont le requérant cherche à se protéger (cf. art. 83 let. d ch. 1 de la loi du 17 juin 2005 sur le Tribunal fédéral [LTF, RS 173.110]).</w:t>
      </w:r>
    </w:p>
    <w:p>
      <w:r>
        <w:rPr>
          <w:b/>
        </w:rPr>
        <w:t>E. 1.2</w:t>
      </w:r>
    </w:p>
    <w:p>
      <w:r>
        <w:t>Le recourant a qualité pour recourir (cf. art. 48 PA). Présenté dans la forme (cf. art. 52 PA) et dans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w:t>
      </w:r>
    </w:p>
    <w:p>
      <w:r>
        <w:t>Le recourant allègue avoir quitté le Nigéria en raison des recherches dont il ferait l'objet de la part des autorités pour avoir frappé un policier avec une machette lors d'une altercation survenue dans le cadre d'un conflit foncier. Dans ces conditions, il fait valoir l'existence d'une crainte objectivement fondée d'être la cible de persécutions en cas de retour dans son pays.</w:t>
      </w:r>
    </w:p>
    <w:p>
      <w:r>
        <w:rPr>
          <w:b/>
        </w:rPr>
        <w:t>E. 4.2</w:t>
      </w:r>
    </w:p>
    <w:p>
      <w:r>
        <w:t>Force est tout d'abord de constater que, vraisemblables ou non, contrairement à ce que soutient le recourant, les motifs allégués ne sont pas pertinents en matière d'asile. L'argumentation selon laquelle l'intéressé tente de donner une connotation politique aux recherches dont il ferait l'objet ne saurait être suivie. En effet, le recourant a asséné un coup de machette dans une mêlée avec des policiers consécutive à un conflit de droit foncier entre une entreprise et des villageois. Le coup porté relevait donc du droit commun et le recourant n'a aucunement démontré que la police le recherchait sous le prétexte d'une activité d'ordre politique. Il n'existe par ailleurs aucun élément qui laisserait penser que l'infraction commise par l'intéressé engendrerait une punition plus élevée pour des raisons d'ordre politique. Cela dit, la crainte de poursuites, conséquence d'actes pénalement répréhensibles, ne constitue pas en soi une crainte d'être exposé à de sérieux préjudices au sens de l'art. 3 LAsi, dès lors que ces poursuites ou menaces ne sont pas motivées par des raisons en relation avec la race, la religion, la nationalité, l'appartenance à un groupe social déterminé ou les opinions politiques. En l'espèce, comme indiqué plus haut, l'intéressé fait état de comportements ou d'actes relevant du droit commun, sur les circonstances desquels les autorités nigérianes sont légitimées à faire la lumière et, le cas échéant, à mener des investigations policières ou judiciaires.</w:t>
      </w:r>
    </w:p>
    <w:p>
      <w:r>
        <w:rPr>
          <w:b/>
        </w:rPr>
        <w:t>E. 4.3</w:t>
      </w:r>
    </w:p>
    <w:p>
      <w:r>
        <w:t>Cela étant, le Tribunal constate, cependant, qu'indépendamment de la question de la pertinence de ses motifs, l'intéressé n'a pas établi la crédibilité des événements qu'il a rapportés et sur lesquels il fonde sa demande d'asile. Il y a lieu de souligner d'entrée de cause que les craintes alléguées reposent sur ses seules affirmations et ne s'appuient sur aucun fondement concret et sérieux ni ne sont étayées par un quelconque commencement de preuve. De plus, le récit est imprécis, parfois contradictoire et manque considérablement de substance, de sorte qu'il ne satisfait pas aux conditions de vraisemblance de l'art. 7 LAsi. A titre d'exemples, l'intéressé s'est trouvé dans l'incapacité de donner des informations un tant soit peu circonstanciées concernant l'entreprise qui exploitait la carrière et n'a même pas été en mesure de citer son nom (cf. p-v d'audition du 12 juin 2008, p. 5). De plus, ses propos relatifs au moment et aux circonstances dans lesquelles une compensation aurait été promise et à la nature de celle-ci sont vagues et dépourvus des détails significatifs d'une expérience vécue. Il en va de même de la description des événements durant lesquels il aurait blessé un policier. Lors de la première audition, l'intéressé a déclaré que lui-même et les villageois avaient commencé à se bagarrer avec les personnes qui étaient descendues du bus et qu'il aurait frappé un passager avec sa machette au cours de cette bagarre avant de prendre la fuite (cf. p-v d'audition du 29 mai 2008, p. 4). En revanche, durant la deuxième audition, il a indiqué qu'il s'était enfui dans la brousse avec d'autres jeunes directement après avoir remarqué des personnes armées descendre des bus. Celles-ci les ayant pourchassés, il en aurait frappée une pour leur échapper (cf. p-v d'audition du 12 juin 2008, p. 4 et 6). Toutes ces imprécisions autorisent à penser que l'intéressé n'a pas vécu les événements tels qu'invoqués à l'appui de sa demande. Le Tribunal observe encore que les déclarations du recourant concernant la chronologie des événements à l'origine de sa fuite du pays sont contradictoires. En effet, il a tout d'abord déclaré avoir frappé le policier en novembre 2006, lors du deuxième blocage de la route, après que les promesses de compensation n'auraient pas été respectées, et avoir quitté son pays le 4 juin 2007, soit sept mois plus tard (cf. p-v d'audition du 29 mai 2008, p. 5). Lors de la deuxième audition, il a allégué qu'une promesse de compensation leur avait été donnée, environ le 6 novembre 2006, après le premier blocage de la route (cf. p-v d'audition du 12 juin 2008, p. 5) et qu'ils avaient attendu cette compensation pendant quelques mois avant de bloquer à nouveau la route (cf. p-v d'audition du 12 juin 2008, p. 4). Lors de la même audition, il a ensuite indiqué que le deuxième blocage avait eu lieu au mois de novembre 2006 (cf. p-v d'audition du 12 juin 2008, p. 6). Invité à se déterminer sur ces incohérences, il s'est limité à expliquer qu'il ne pouvait pas être plus précis sur la date et qu'il disait la vérité (cf. p-v d'audition du 12 juin 2008, p. 6). Les explications données à ce sujet au stade du recours, à savoir que le premier blocage du chemin par les villageois aurait eu lieu en novembre 2006 et le deuxième le 1er juin 2007, trois jours avant son départ du pays ne sont pas pertinentes, l'intéressé tentant manifestement d'adapter son récit aux seuls besoins de la cause. Ces contradictions permettent une fois encore de douter de la crédibilité des déclarations de l'intéressé. Enfin, dans sa réplique du 16 septembre 2008, le recourant a précisé que les policiers s'étaient rendus à son domicile et savaient qu'il était l'auteur du coup de machette porté à l'un des leurs. Toutefois, il ne ressort manifestement pas de ses déclarations que les policiers l'auraient identifié comme l'auteur de l'infraction commise à l'égard du policier, ce d'autant moins que d'autres jeunes auraient également blessé des policiers lors de l'intervention (cf. p-v d'audition du 12 juin 2008, p. 4). L'intéressé adapte là encore son récit aux besoins de la cause. Ces précisions données seulement au stade de la réplique sont d'autant moins crédibles que l'intéressé est par contre incapable d'indiquer si le policier qu'il aurait frappé serait seulement blessé ou s'il aurait succombé à ses blessures (cf. p-v d'audition du 12 juin 2008, p. 6, p-v d'audition du 29 mai 2008, p. 5 et mémoire de recours du 28 juillet 2008, p. 4). Dans ces conditions, de sérieux doutes existent quant aux réelles circonstances du départ de l'intéressé du Nigéria.</w:t>
      </w:r>
    </w:p>
    <w:p>
      <w:r>
        <w:rPr>
          <w:b/>
        </w:rPr>
        <w:t>E. 4.4</w:t>
      </w:r>
    </w:p>
    <w:p>
      <w:r>
        <w:t>Pour le surplus, renvoi est fait aux considérants pertinents de la décision attaquée.</w:t>
      </w:r>
    </w:p>
    <w:p>
      <w:r>
        <w:rPr>
          <w:b/>
        </w:rPr>
        <w:t>E. 4.5</w:t>
      </w:r>
    </w:p>
    <w:p>
      <w:r>
        <w:t>En conclusion, aucun élément concret et sérieux ne permet d'admettre, avec un degré de vraisemblance suffisant, l'existence chez l'intéressé d'une crainte objectivement fondée de persécutions lorsqu'il rentrera au pays. C'est ainsi à raison que l'ODM a rejeté sa demande d'asile. Portant sur ce point, le recours doit, partant,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au Nigéria exposerait l'intéressé à un risque concret et sérieux de traitement de cette nature. Dès lors, l'exécution du renvoi sous forme de refoulement ne transgresse aucun engagement de la Suisse relevant du droit international, de sorte qu'elle s'avère licite (cf.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(ATAF 2009/52 consid. 10.1, ATAF 2008/34 consid. 11.2.2 et ATAF 2007/10 consid. 5.1).</w:t>
      </w:r>
    </w:p>
    <w:p>
      <w:r>
        <w:rPr>
          <w:b/>
        </w:rPr>
        <w:t>E. 8.2</w:t>
      </w:r>
    </w:p>
    <w:p>
      <w:r>
        <w:t>Malgré le climat d'instabilité prévalant dans certaines régions du pays,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le recourant est jeune, au bénéfice d'une expérience professionnelle et n'a pas allégué de problème de santé particulier.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11.2</w:t>
      </w:r>
    </w:p>
    <w:p>
      <w:r>
        <w:t>Toutefois, le recourant a conclu à l'octroi de l'assistance judiciaire partielle. Celle-ci doit être accordée dans la mesure où les conclusions de son recours n'apparaissaient pas d'emblée vouées à l'échec au moment de son dépôt et qu'il était - et est encore probablement - indigent, vu son absence d'activité rémunérée en Suisse (cf. art. 65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