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E-4961/2020 vom 4. November 2020</w:t>
      </w:r>
    </w:p>
    <w:p>
      <w:r>
        <w:t>Bundesverwaltungsgericht, 2020-11-04, DE</w:t>
      </w:r>
    </w:p>
    <w:p>
      <w:r>
        <w:rPr>
          <w:b/>
        </w:rPr>
        <w:t xml:space="preserve">Quelle: </w:t>
      </w:r>
      <w:r>
        <w:t>https://mcp.opencaselaw.ch/entscheid/bvger_E-4961_2020</w:t>
      </w:r>
    </w:p>
    <w:p>
      <w:r>
        <w:t>FR: TAF E-4961/2020 du 4 novembre 2020</w:t>
      </w:r>
    </w:p>
    <w:p>
      <w:r>
        <w:t>IT: TAF E-4961/2020 del 4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hielt in seiner Verfügung fest, dass es sich bei den geltend gemachten Problemen der Beschwerdeführenden um eine Verfolgung durch Dritte handle. Diesbezüglich gehe es davon aus, dass der kolumbianische Staat grundsätzlich über eine funktionierende Schutzinfrastruktur, insbesondere über einen funktionierenden Polizeiapparat sowie über ein Rechts- und Justizsystem verfüge. Diese Annahme werde vorliegend dadurch bestätigt, dass die Staatsanwaltschaft am (...) 2019 die Anzeige der Beschwerdeführenden entgegengenommen habe. Ausserdem hätten diese gemäss den Schutzempfehlungen am (...) 2019 die Polizei angerufen, nachdem eine fremde Person vor ihrer Wohnungstür gestanden habe, als [C._______] allein zuhause gewesen sei. Diese sei - wenn auch später als das Ehepaar - am Ort des Geschehens eingetroffen und habe sich nach dem Befinden der Beschwerdeführenden erkundigt. Der Umstand, dass Beamte der Polizei und der Staatsanwaltschaft aufgrund ihres Schutzersuchen reagiert hätten, bestätige die obige Einschätzung betreffend Schutzwilligkeit und -fähigkeit der kolumbianischen Behörden sowie den Umstand, dass den Beschwerdeführenden eine Inanspruchnahme dieses Schutzsystems zumutbar und möglich gewesen sei. Weiter, so das SEM, sei die von den Beschwerdeführenden umschriebene Furcht aus subjektiver Sicht zwar verständlich, lasse sich indes aus objektiver Sicht aufgrund der Akten nicht bestätigen. Die Beschwerdeführenden hätten sich nach dem ersten Drohanruf vom (...) 2019 (...) Monate im gewohnten Umfeld in derselben Region aufgehalten, bevor sie Kolumbien (...) 2019 verlassen hätten. Der (...) Aufenthalt bei Familienangehörigen lasse nicht auf eine akute Gefährdung schliessen, da mutmassliche Verfolger mit Sicherheit zuerst bei Angehörigen der Beschwerdeführenden gesucht hätten. Den Akten würden sich ferner keine Hinweise entnehmen lassen, wonach sie im heutigen Zeitpunkt eine Gefährdung durch die Verfolger zu befürchten hätten. Das SEM verwies insbesondere auf den Umstand, dass es sich aufgrund der Tätigkeit des Beschwerdeführers im Rahmen der Gouverneurs- und Bürgermeisterwahlen um eine lokale Verfolgung gehandelt habe, weshalb auch ein alternativer Aufenthaltsort innerhalb von Kolumbien in Frage käme. Zusammenfassend würden die Vorbringen den Anforderungen an die Flüchtlingseigenschaft gemäss Art. 3 AsylG nicht standhalten. Die eingereichten Beweismittel könnten diese Einschätzung ebenfalls nicht umstürzen.</w:t>
      </w:r>
    </w:p>
    <w:p>
      <w:r>
        <w:rPr>
          <w:b/>
        </w:rPr>
        <w:t>E. 5.2</w:t>
      </w:r>
    </w:p>
    <w:p>
      <w:r>
        <w:t>Die Beschwerdeführenden brachten in ihrer Rechtsmitteleingabe demgegenüber vor, die Korruption - und damit einhergehend das mangelhafte polizeiliche Schutzsystem - sowie die Gewaltsituation dürfe trotz des Friedensvertrages nicht ignoriert werden. Ferner sei aufgrund ihrer guten Integration von einem Vollzug der Wegweisung abzusehen.</w:t>
      </w:r>
    </w:p>
    <w:p>
      <w:r>
        <w:rPr>
          <w:b/>
        </w:rPr>
        <w:t>E. 5.3</w:t>
      </w:r>
    </w:p>
    <w:p>
      <w:r>
        <w:t>Nach Prüfung der Akten ist festzustellen, dass die Beschwerdeführenden die Flüchtlingseigenschaft nicht erfüllen, weil die dargelegte Gefährdung - Drohanrufe, welche trotz des Wissens um den Aufenthalt der Beschwerdeführenden während (...) Monaten ohne Folgen blieben - nur schon die erforderliche Intensität von Art. 3 AsylG nicht erfüllt. Eine Gefährdung des Leibes erreicht die geforderte Intensität dann, wenn dem Betroffenen ernsthafte Verletzungen (physischer oder psychischer Natur) zugefügt worden oder zu befürchten sind, beziehungsweise die Person direkter und ernsthafter Todesgefahr ausgesetzt ist. Leichtere Eingriffe erreichen die nötige Intensität nicht. Mehrere Eingriffe in die in Art. 3 AsylG genannten Rechtsgüter, die zwar für sich allein die nötige Intensität nicht erreichen, insgesamt gesehen das Mass des Erträglichen überschreiten können. Mehrere Eingriffe im obgenannten Sinne, die nicht intensiv genug sind, können zwar zu einem unerträglichen psychischen Druck führen, der für die betroffene Person ein weiteres Verbleiben im Heimatland verunmöglicht. Dabei ist aber zu beachten, dass der von der asylsuchenden Person geltend gemachte psychische Druck objektiv gesehen nachvollziehbar sein muss (vgl. Urteil des BVGer D-6214/2014 vom 2. Februar 2017 E. 4.1.1). Dies ist vorliegend nicht der Fall.</w:t>
      </w:r>
    </w:p>
    <w:p>
      <w:r>
        <w:rPr>
          <w:b/>
        </w:rPr>
        <w:t>E. 5.4</w:t>
      </w:r>
    </w:p>
    <w:p>
      <w:r>
        <w:t>Überdies ist darauf hinzuweisen, dass bezüglich den Drohungen kein Motiv - auch kein politisches Motiv - erkennbar ist. So ist nicht ersichtlich, weshalb ein Techniker von politischen Veranstaltungen - quasi eine Nebenfigur - politisch verfolgt wird, während die Hauptpersonen - vorliegend die Kandidaten für politische Ämter - davon unberührt bleiben. Aus Pressemitteilungen ist der Grund für die Ermordung des im Oktober 2019 gewählten Bürgermeisters von Sutatausa (Departamento Cundinamarca) José Humberto Rodríguez vom 3. Dezember 2019 nicht ersichtlich. Im August 2020 wurden diesbezüglich drei Personen festgenommen, die der kriminellen Bande Los Cacharros zuzuordnen sind, deren Mitglieder den Ruf haben im Auftrag zu morden («...Estos miembros hacían parte de una estructura criminal, la cual se dedicaba al sicariato en diversas regiones del territorio nacional ...»; vgl. El Espectador, «Capturan a presuntos asesinos del alcalde de Sutatausa, Cundinamarca» vom 28. August 2020 [https://www.elespectador.com/noticias/bogota/capturan-a-presuntos-asesinos-del-alcalde-de-sutatausa-cundinamarca/, besucht am 22. Oktober 2020]). Es ist zwischen der Ermordung von José Humberto Rodríguez und der Tätigkeit des Beschwerdeführers kein Zusammenhang erkennbar.</w:t>
      </w:r>
    </w:p>
    <w:p>
      <w:r>
        <w:rPr>
          <w:b/>
        </w:rPr>
        <w:t>E. 5.5</w:t>
      </w:r>
    </w:p>
    <w:p>
      <w:r>
        <w:t>Letztlich hat das SEM richtigerweise festgestellt, dass es sich vorliegend mutmasslich um Übergriffe Dritter handelt. Im Sinne der sogenannten Schutztheorie ist eine nichtstaatliche Verfolgung nur dann asylrelevant, wenn der Staat unfähig oder nicht willens ist, Schutz vor besagter Verfolgung zu bieten, beziehungsweise trotz allgemeiner Schutzfähigkeit und allgemeinem Schutzwillen, die Betroffenen aus einem asylrechtlichen Motiv im Konkreten nicht geschützt werden. Es ist dabei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dass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Kontextes zu beurteilen ist. Dem SEM ist zuzustimmen, dass im vorliegenden Fall von der Schutzfähigkeit und -willigkeit der kolumbianischen Strafverfolgungs- und Justizbehörden auszugehen ist. Im Grossen und Ganzen kann denn auch auf die vorinstanzlichen Erwägungen verwiesen werden. Zu betonen ist an dieser Stelle, dass - als die Beschwerdeführenden ein einziges Mal die Polizei angerufen haben - diese ihre Pflichten erfüllt und vor Ort die Sachlage überprüft hat. Später haben die Beschwerdeführenden keinen weiteren Versuch mehr unternommen, adäquaten Schutz zu erhalten.</w:t>
      </w:r>
    </w:p>
    <w:p>
      <w:r>
        <w:rPr>
          <w:b/>
        </w:rPr>
        <w:t>E. 5.6</w:t>
      </w:r>
    </w:p>
    <w:p>
      <w:r>
        <w:t>Nach dem Gesagten hat die Vorinstanz die Flüchtlingseigenschaft der Beschwerdeführenden zu Recht verneint und ihre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Kolumbien noch individuelle Gründe wirtschaftlicher und sozialer Natur lassen auf eine konkrete Gefährdung der Beschwerdeführenden im Falle einer Rückkehr schliessen. Die Vorinstanz hat diesbezüglich zu Recht auf das soziale Beziehungsnetz der Familienmitglieder - notabene auch der Vater von C._______ - und die Berufserfahrung des Ehepaars hingewiesen. Die Beschwerdeführerin hat eine Ausbildung als (...) sowie im kaufmännischen Bereich absolviert. Um ihren familiären Verpflichtungen besser nachkommen zu können, hat sie ihre administrative Arbeit in einer (...) im Jahr 2019 gekündigt. Darauffolgend hat sie online gesunde Ernährung verkauft und Interessierte dazu beraten. Der Vater ihrer Kinder hat ein eigenes Unternehmen und finanziert derzeit das Studium der gemeinsamen Tochter in Spanien. Der Beschwerdeführer hat seit Jahren im Eventbereich gearbeitet und sich vor ungefähr zwei Jahren selbständig gemacht. Durch seine Kontakte, teilweise noch aus Schulzeiten, konnte er diverse Wahlauftritte von regionalen Politikern sowie geschäftliche und private Feiern technisch begleiten und für Theaterhäuser arbeiten. Ein Vollzugshindernis gesundheitlicher Natur ist den Akten nicht zu entnehmen. Die von den Beschwerdeführenden vorgebrachten Integrationsbemühungen sind im Zusammenhang mit dem Kindswohl (vgl. dazu BVGE 2015/30 E. 7.2) zu berücksichtigen. Die erfolgte Integration kann jedoch nur bei einem längeren Aufenthalt in der Schweiz für die Feststellung eines allfälligen unzumutbaren Wegweisungsvollzugs relevant sein, was vorliegend nicht der Fall ist. Nach dem Gesagten erweist sich der Vollzug der Wegweisung somit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Kosten sind bei diesem Ausgang des Verfahrens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