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E-495/2023 vom 12. Januar 2023</w:t>
      </w:r>
    </w:p>
    <w:p>
      <w:r>
        <w:t>Bundesverwaltungsgericht, 2023-01-12, FR</w:t>
      </w:r>
    </w:p>
    <w:p>
      <w:r>
        <w:rPr>
          <w:b/>
        </w:rPr>
        <w:t xml:space="preserve">Quelle: </w:t>
      </w:r>
      <w:r>
        <w:t>https://mcp.opencaselaw.ch/entscheid/bvger_E-495_2023_d20230112</w:t>
      </w:r>
    </w:p>
    <w:p>
      <w:r>
        <w:t>FR: TAF E-495/2023 du 12 janvier 2023</w:t>
      </w:r>
    </w:p>
    <w:p>
      <w:r>
        <w:t>IT: TAF E-495/2023 del 12 gennaio 2023</w:t>
      </w:r>
    </w:p>
    <w:p>
      <w:pPr>
        <w:pStyle w:val="Heading2"/>
      </w:pPr>
      <w:r>
        <w:t>Regeste</w:t>
      </w:r>
    </w:p>
    <w:p>
      <w:r>
        <w:t>Ex&amp;eacute;cution du renvoi (proc&amp;eacute;dure acc&amp;eacute;l&amp;eacute;r&amp;eacute;e) | Renvoi et exécution du renvoi (procédure accélérée); décision du SEM du 12 janvier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exceptionnellement pas perçu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président du collège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