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E-4959/2009 vom 23. Oktober 2012</w:t>
      </w:r>
    </w:p>
    <w:p>
      <w:r>
        <w:t>Bundesverwaltungsgericht, 2012-10-23, DE</w:t>
      </w:r>
    </w:p>
    <w:p>
      <w:r>
        <w:rPr>
          <w:b/>
        </w:rPr>
        <w:t xml:space="preserve">Quelle: </w:t>
      </w:r>
      <w:r>
        <w:t>https://mcp.opencaselaw.ch/entscheid/bvger_E-4959_2009</w:t>
      </w:r>
    </w:p>
    <w:p>
      <w:r>
        <w:t>FR: TAF E-4959/2009 du 23 octobre 2012</w:t>
      </w:r>
    </w:p>
    <w:p>
      <w:r>
        <w:t>IT: TAF E-4959/2009 del 23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formellrechtlicher Hinsicht rügt die Rechtsvertretung des Beschwerdeführers, die Vorinstanz habe den rechtserheblichen Sachverhalt falsch (ungenügend und willkürlich) festgestellt, indem sie asylrelevante Ereignisse oder Umstände, die der Beschwerdeführer anlässlich der Befragungen geschildert habe, in der angefochtenen Verfügung nicht erwähnt habe.</w:t>
      </w:r>
    </w:p>
    <w:p>
      <w:r>
        <w:rPr>
          <w:b/>
        </w:rPr>
        <w:t>E. 3.2</w:t>
      </w:r>
    </w:p>
    <w:p>
      <w:r>
        <w:t>Da der Anspruch auf rechtliches Gehör formeller Natur ist, und eine Verletzung grundsätzlich ohne weiteres - das heisst ungeachtet der materiellen Auswirkungen - zur Aufhebung des daraufhin ergangenen Entscheides führt (vgl. BVGE 2008/14 E. 4.1 S. 185, BVGE 2007/30 E. 8.2 S. 371 mit weiteren Hinweisen, BVGE 2007/27 E. 10.1 S. 332), ist auf diese Rüge vorab einzugehen.</w:t>
      </w:r>
    </w:p>
    <w:p>
      <w:r>
        <w:rPr>
          <w:b/>
        </w:rPr>
        <w:t>E. 3.3</w:t>
      </w:r>
    </w:p>
    <w:p>
      <w:r>
        <w:t>Im Verwaltungsverfahren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Dieser Grundsatz gilt indes nicht uneingeschränkt, er findet sein Korrelat in der Mitwirkungspflicht der asylsuchenden Person (Art. 13 VwVG und Art. 8 AsylG). Der Grundsatz des rechtlichen Gehörs (Art. 29 Abs. 2 BV, Art. 29 VwVG, Art. 32 Abs. 1 VwVG) verlangt dabei, dass die verfügende Behörde die Vorbringen des Betroffenen tatsächlich hört, sorgfältig und ernsthaft prüft und in der Entscheidfindung berücksichtigt, was sich entsprechend in der Entscheidbegründung niederschlagen muss (Entscheidungen und Mitteilungen der Schweizerischen Asylrekurskommission [EMARK] 2004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(vgl. BVGE 2008 Nr. 47 E. 3.2 S. 674 f.; EMARK 2006 Nr. 24 E. 5.1 S. 256 f.). Die Abfassung der Begründung soll ferner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w:t>
      </w:r>
    </w:p>
    <w:p>
      <w:r>
        <w:rPr>
          <w:b/>
        </w:rPr>
        <w:t>E. 3.4</w:t>
      </w:r>
    </w:p>
    <w:p>
      <w:r>
        <w:t>Soweit bemängelt wird, die Vorinstanz habe den Sachverhalt unrichtig und willkürlich festgestellt, insbesondere habe sie es unterlassen, zu erwähnen, dass die Schwester des Beschwerdeführers nicht mehr vom Polizeiposten zurückgekehrt sei, ist Folgendes festzuhalten: Wie soeben erwähnt, ist die verfügende Behörde nicht verpflichtet, sich mit jeder tatbeständlichen Behauptung auseinanderzusetzen. Bei der Erstbefragung hat der Beschwerdeführer selbst das Verschwinden der Schwester in keiner Weise erwähnt, und auch bei der einlässlichen Anhörung zu seinen Asylgründen hat er dieses Ereignis erst vorgebracht, nachdem er gefragt worden ist, ob seine Schwester immer noch in Colombo wohne. Angesichts dieses Aussageverhaltens des Beschwerdeführers war nicht anzunehmen, dass es sich um ein zentrales Fluchtelement gehandelt hätte, weshalb eine explizite Erwähnung dieses Ereignisses durch die Vorinstanz nicht erforderlich war. Auch bestehen keine Anhaltspunkte für die Annahme eines willkürlich festgestellten Sachverhalts und die Verfügung wurde angemessen begründet. Der Beschwerdeführer konnte sich über die Tragweite des Entscheides ein Bild machen und diesen gestützt darauf anfechten. Sein Anspruch auf Gewährung des rechtlichen Gehörs ist demzufolge nicht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4.4</w:t>
      </w:r>
    </w:p>
    <w:p>
      <w:r>
        <w:t>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BVGE 2011/24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a.a.O. E. 8).</w:t>
      </w:r>
    </w:p>
    <w:p>
      <w:r>
        <w:rPr>
          <w:b/>
        </w:rPr>
        <w:t>E. 4.5</w:t>
      </w:r>
    </w:p>
    <w:p>
      <w:r>
        <w:t>Der Beschwerdeführer macht hauptsächlich geltend, er sei im Jahre 2008 bei einer Bombenexplosion in der Nähe seiner Wohnung und einer danach erfolgten Hausdurchsuchung durch srilankische Polizisten zu Unrecht einer Leibesvisitation unterzogen worden. Dabei sei er festgenommen und geschlagen und ihm die Parteimitgliedschaft der LTTE und die Teilnahme an Kampfhandlungen vorgeworfen worden. Tags darauf sei er mithilfe seiner Verwandten gegen eine Kaution von 40'000 Rupien aus der Haft entlassen worden. Entgegen seinen Ausführungen ist nicht davon auszugehen, dass der Beschwerdeführer gegen eine Kaution freigelassen worden wäre, hätten ihn die srilankischen Sicherheitskräfte tatsächlich ernsthaft verdächtigt, LTTE-Mitglied und an Kampfhandlungen beteiligt gewesen zu sein, zumal dies dem üblichen Vorgehen des srilankischen Staates widersprechen würde. Der Beschwerdeführer weist denn auch kein politisches Profil auf, und seinen Angaben zufolge wurde kein gegen ihn gerichtetes Strafverfahren eröffnet wegen des Verdachts, bei der Bombenexplosion teilgenommen zu haben. (vgl. BFM-Akte A11 S. 10 F 82 f). Die von ihm geltend gemachten Schikanierungen seitens der srilankischen Sicherheitskräfte in Colombo - welche vom Gericht nicht bezweifelt werden - sind vor dem Hintergrund der allgemein angespannten Lage, die während des Bürgerkrieges in Sri Lanka geherrscht hat, zu beurteilen. Aus diesem Kontext heraus sind die Festnahme und Freilassung gegen Kaution sowie die weiteren Kontrollen und Schikanierungen nicht als ausreichend zu bewerten, um annehmen zu müssen, die srilankischen Behörden hätten ihn im Zeitpunkt seiner Ausreise aus der Heimat ernsthaft verdächtigt, Verbindungen zu den LTTE zu unterhalten. Aus diesem Grund und da sich die politische Lage in Sri Lanka - wie vorstehend unter E. 4.4 dargelegt - seit Beendigung des Bürgerkrieges im Mai 2009 fortlaufend entspannt und verbessert hat, ist - entgegen der Behauptung in der Rechtsmittelschrift - nicht anzunehmen, dass der Beschwerdeführer zum heutigen Zeitpunkt bei einer Rückkehr in sein Heimatland von deren Behörden asylrelevante Nachteile zu befürchten hat. Der Umstand, dass er sein Heimatland während des Bürgerkrieges verlassen hat, er sich seit über vier Jahren in der Schweiz aufhält und hier ein Asylgesuch eingereicht hat, vermag ebenfalls nicht zur Annahme einer begründeten Furcht vor zukünftiger Verfolgung zu führen, da keine Anhaltspunkte dafür bestehen, dass er sich im nahen Umfeld der LTTE bewegt. Dies gilt selbst dann, wenn es zutreffen sollte, dass er Sri Lanka illegal verlassen hat. Im Weiteren ist angesichts seiner Aussagen auch nicht davon auszugehen, seine Familie oder er verfügten über beträchtliche finanzielle Mittel, so dass er auch in dieser Hinsicht keiner erhöhten Gefährdung unterliegt. Der Beschwerdeführer gehört somit keiner der im Urteil BVGE 2011/24 definierten Risikogruppen an, weshalb er in Sri Lanka zum jetzigen Zeitpunkt keine asylrelevante Verfolgung zu befürchten hat. An dieser Einschätzung ändert auch der von ihm eingereichte Bericht der Schweizerischen Flüchtlingshilfe vom 7. Juli 2009 nichts, zumal es diesem an Aktualität mangelt. Abschliessend ist darauf hinzuweisen, dass das schweizerische Asylrecht nicht dem Ausgleich erlittenen Unrechts dient. Insofern vermögen die Haft und die in diesem Zusammenhang erlittenen psychischen und physischen Beeinträchtigungen, von denen der Beschwerdeführer im Jahre 2008 betroffen gewesen war, heute eine Asylgewährung nicht zu begründen.</w:t>
      </w:r>
    </w:p>
    <w:p>
      <w:r>
        <w:rPr>
          <w:b/>
        </w:rPr>
        <w:t>E. 4.6</w:t>
      </w:r>
    </w:p>
    <w:p>
      <w:r>
        <w:t>Zusammenfassend ist festzuhalten, dass die vom Beschwerdeführer dargelegten Asylgründe (Inhaftierung, Festnahmen, Schläge und Schikanierungen) den Anforderungen an Art. 3 AsylG (insbesondere hinsichtlich der Intensität der Verfolgungsvorbringen) nicht zu genügen vermögen, um zum heutigen Zeitpunkt annehmen zu müssen, er würde bei einer Rückkehr nach Sri Lanka einer asylrelevanten Gefährdung ausgesetzt sein. Seine Beschwerdevorbringen und die eingereichten Beweismittel führen nicht zu einer anderen Betrachtungsweise, weshalb es sich erübrigt, weiter darauf einzugehen. Die Vorinstanz hat demnach zu Recht die Flüchtlingseigenschaft des Beschwerdeführers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gleiche Beweisstandard wie bei der Flüchtlingseigenschaft, das heisst, sie sind zu beweisen, wenn der strikte Beweis möglich ist, und andernfalls wenigstens glaubhaft zu machen (vgl. BVGE 2011/24 E. 10.2).</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 Auch besteht keine Verletzung von Art. 8 EMRK, wie vom Beschwerdeführer vorgebracht, da dieser mittlerweile 24 Jahre alt ist und sich nicht mehr auf die von Art. 8 EMRK umfassende Familieneinheit berufen kann.</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w:t>
      </w:r>
    </w:p>
    <w:p>
      <w:r>
        <w:rPr>
          <w:b/>
        </w:rPr>
        <w:t>E. 6.5</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2011/24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(BVGE 2011/24 E. 13).</w:t>
      </w:r>
    </w:p>
    <w:p>
      <w:r>
        <w:rPr>
          <w:b/>
        </w:rPr>
        <w:t>E. 6.6</w:t>
      </w:r>
    </w:p>
    <w:p>
      <w:r>
        <w:t>Der Beschwerdeführer lebte von 2004 bis 2008 mit seiner Mutter und seinem jüngeren Bruder in Colombo und hat dort eigenen Angaben zufolge nach der Schule einen Computerkurs besucht bzw. Graphik-Design gelernt. Seine singalesische Tante (vgl. A11 S. 7) wohnt mit ihrer Familie in Colombo, wo auch er und seine ältere Schwester vor ihrer Ausreise untergebracht gewesen sind. Da der Beschwerdeführer zum Zeitpunkt seiner Ausreise 20 Jahre alt war, ist davon auszugehen, dass er bereits ein eigenes Beziehungsnetz ausserhalb seiner Familie und Verwandten aufgebaut hatte, weshalb er bei einer Rückkehr auf dieses zurückgreifen kann. Aufgrund dieser begünstigenden Faktoren dürfte es ihm möglich sein, sich wirtschaftlich in seiner Heimat zu integrieren. Schliesslich macht der Beschwerdeführer keine gesundheitlichen Beschwerden geltend.</w:t>
      </w:r>
    </w:p>
    <w:p>
      <w:r>
        <w:rPr>
          <w:b/>
        </w:rPr>
        <w:t>E. 6.7</w:t>
      </w:r>
    </w:p>
    <w:p>
      <w:r>
        <w:t>Nach dem Gesagten erweist sich der Vollzug der Wegweisung auch als zumutbar.</w:t>
      </w:r>
    </w:p>
    <w:p>
      <w:r>
        <w:rPr>
          <w:b/>
        </w:rPr>
        <w:t>E. 6.8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6.9</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Prozessausgang sind die Verfahrenskosten dem Beschwerdeführer aufzuerlegen (Art. 63 Abs. 1 VwVG). Dieser bezahlte am 28. September 2009 einen Kostenvorschuss in der Höhe von Fr. 600.-. Die Verfahrenskosten in derselben Höhe werden deshalb mit dem bereits bezahlten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