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E-4958/2010 vom 15. Juli 2010</w:t>
      </w:r>
    </w:p>
    <w:p>
      <w:r>
        <w:t>Bundesverwaltungsgericht, 2010-07-15, DE</w:t>
      </w:r>
    </w:p>
    <w:p>
      <w:r>
        <w:rPr>
          <w:b/>
        </w:rPr>
        <w:t xml:space="preserve">Quelle: </w:t>
      </w:r>
      <w:r>
        <w:t>https://mcp.opencaselaw.ch/entscheid/bvger_E-4958_2010</w:t>
      </w:r>
    </w:p>
    <w:p>
      <w:r>
        <w:t>FR: TAF E-4958/2010 du 15 juillet 2010</w:t>
      </w:r>
    </w:p>
    <w:p>
      <w:r>
        <w:t>IT: TAF E-4958/2010 del 15 luglio 2010</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(Art. 105 des Asylgesetzes vom 26. Juni 1998 [AsylG, SR 142.31]; Art. 83 Bst. d Ziff. 1 des Bundesgerichtsgesetzes vom 17. Juni 2005 [BGG, SR 173.110]).</w:t>
      </w:r>
    </w:p>
    <w:p>
      <w:r>
        <w:rPr>
          <w:b/>
        </w:rPr>
        <w:t>E. 1.2</w:t>
      </w:r>
    </w:p>
    <w:p>
      <w:r>
        <w:t>Die Beschwerde ist nicht in einer Amtssprache des Bundes abgefasst. Aus prozessökonomischen Gründen wurde vorliegend auf eine Rückweisung der englischsprachigen Beschwerde zur Übersetzung in eine Amtssprache verzichtet, da das sinngemäss gestellte Rechtsbegehren verständlich und begründet ist, und das Bundesverwaltungsgericht praxisgemäss Eingaben wie die vorliegende entgegennimmt, ohne die Übersetzung in eine Amtssprache zu verlan-gen.</w:t>
      </w:r>
    </w:p>
    <w:p>
      <w:r>
        <w:rPr>
          <w:b/>
        </w:rPr>
        <w:t>E. 1.3</w:t>
      </w:r>
    </w:p>
    <w:p>
      <w:r>
        <w:t>Der Beschwerdeführer hat am Verfahren vor der Vorinstanz teilgenommen, ist durch die angefochtene Verfügung besonders berührt, hat ein schutzwürdiges Interesse an deren Aufhebung beziehungsweise Änderung und ist daher zur Einreichung der Beschwerde legitimiert. Auf die frist- und formgerecht eingereichte Beschwerde ist somit einzutreten (Art. 108 AsylG sowie Art. 105 AsylG i.V.m. Art. 37 VGG und Art. 48 Abs. 1 und Art. 52 VwVG).</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Über offensichtlich unbegründete Beschwerden wird in einzelrichterlicher Zuständigkeit mit Zustimmung eines zweiten Richters entschieden (Art. 111 Bst. e AsylG). Wie nachstehend aufgezeigt, handelt es sich vorliegend um eine solche, weshalb der Beschwerdeentscheid nur summarisch zu begründen ist (Art. 111a Abs. 2 AsylG).</w:t>
      </w:r>
    </w:p>
    <w:p>
      <w:r>
        <w:rPr>
          <w:b/>
        </w:rPr>
        <w:t>E. 3.2</w:t>
      </w:r>
    </w:p>
    <w:p>
      <w:r>
        <w:t>Gestützt auf Art. 111a Abs. 1 AsylG wurde vorliegend auf die Durchführung des Schriftenwechsels verzichtet.</w:t>
      </w:r>
    </w:p>
    <w:p>
      <w:r>
        <w:rPr>
          <w:b/>
        </w:rPr>
        <w:t>E. 4.1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w:t>
      </w:r>
    </w:p>
    <w:p>
      <w:r>
        <w:rPr>
          <w:b/>
        </w:rPr>
        <w:t>E. 4.2</w:t>
      </w:r>
    </w:p>
    <w:p>
      <w:r>
        <w:t>Das BFM kann ein im Ausland gestelltes Asylgesuch ablehnen, wenn die asylsuchenden Personen keine Verfolgung glaubhaft machen können oder ihnen die Aufnahme in einem Drittstaat zugemutet werden kann. Vorbringen sind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(vgl. Art. 3, Art. 7 und Art. 52 Abs. 2 AsylG).</w:t>
      </w:r>
    </w:p>
    <w:p>
      <w:r>
        <w:rPr>
          <w:b/>
        </w:rPr>
        <w:t>E. 4.3</w:t>
      </w:r>
    </w:p>
    <w:p>
      <w:r>
        <w:t>Gemäss Art. 20 Abs. 2 AsylG bewilligt das Bundesamt Asylsu-chenden die Einreise zur Abklärung des Sachverhaltes, wenn ihnen nicht zugemutet werden kann, im Wohnsitz- oder Aufenthaltsstaat zu bleiben oder in ein anderes Land auszureisen. Gestützt auf Art. 20 Abs. 3 AsylG kann das Eidgenössische Justiz- und Polizeidepartement (EJPD) schweizerische Vertretungen ermächtigen, Asylsuchenden die Einreise zu bewilligen, die glaubhaft machen, dass eine unmittelbare Gefahr für Leib und Leben oder für die Freiheit aus einem Grund nach Art. 3 Abs. 1 AsylG bestehe.</w:t>
      </w:r>
    </w:p>
    <w:p>
      <w:r>
        <w:rPr>
          <w:b/>
        </w:rPr>
        <w:t>E. 4.4</w:t>
      </w:r>
    </w:p>
    <w:p>
      <w:r>
        <w:t>Bei diesem Entscheid gelten für die Erteilung einer Einreisebewilligung restriktive Voraussetzungen, wobei den Behörden ein weiter Ermessensspielraum zukommt. Neben der erforderlichen Gefährdung im Sinne von Art. 3 AsylG sind namentlich die Bezie-hungsnähe zur Schweiz, die Möglichkeit der Schutzgewährung durch einen anderen Staat, die Beziehungsnähe zu anderen Staaten, die praktische Möglichkeit und objektive Zumutbarkeit zur anderweitigen Schutzsuche sowie die voraussichtlichen Eingliederungs- und Assi-milationsmöglichkeiten in Betracht zu ziehen (vgl. Entscheidungen und Mitteilungen der Schweizerischen Asylrekurskommission [EMARK] 1997 Nr. 15 E. 2.e.- g. S. 131 ff.; die dort akzentuierte Praxis hat nach bloss redaktionellen Änderungen bei der letzten Totalrevision des Asylgesetzes nach wie vor Gültigkeit).</w:t>
      </w:r>
    </w:p>
    <w:p>
      <w:r>
        <w:rPr>
          <w:b/>
        </w:rPr>
        <w:t>E. 5.1</w:t>
      </w:r>
    </w:p>
    <w:p>
      <w:r>
        <w:t>Das BFM führte in der angefochtenen Verfügung aus, der Beschwerdeführer mache geltend, er werde von Unbekannten, möglicherweise der TMVP (Karuna-Gruppe, Anm. BVGer), mit dem Tod bedroht. Seit dem Tod des Vaters sei er wiederholt von Unbekannten telefonisch bedroht und aufgefordert worden, Schulden des Vaters zu begleichen. Dazu stellte die Vorinstanz fest, befürchtete Übergriffe seien nur einreiserelevant, wenn der Heimatstaat dafür entweder die Verantwortung trage, indem er solche Handlungen anrege, unterstütze oder nicht willens und in der Lage sei, dem Betroffenen den not-wendigen Schutz zu gewähren. Der srilankische Staat gelte indes als schutzfähig, und der Beschwerdeführer habe demnach die Möglich-keit, sich an die Behörden zu wenden, um Schutz vor Verfolgung sei-tens Dritter zu ersuchen. Dies habe der Beschwerdeführer am 19. De-zember 2009 auch getan, indem er zur Polizei gegangen sei und An-zeige erstattet habe. Die Polizei habe diese entgegengenommen. Den Akten seien keine Hinweise zu entnehmen, welche auf eine Schutz-unwilligkeit des Staates hindeuten würden. Vielmehr hätten sich die Behörden angemessen schutzwillig gezeigt. Allerdings habe es der Beschwerdeführer unterlassen, sich später nach dem Untersuchungs-stand zu erkundigen beziehungsweise die weiteren Drohungen sowie das Auftauchen der Unbekannten bei ihm zuhause zu melden. Dies wäre jedoch nötig gewesen, damit die Behörden ihrer Schutzfunktion hätten weiter nachkommen können, zumal der Beschwerdeführer von der Polizei ausdrücklich dazu aufgefordert worden sei. Weiter führte das BFM aus, der srilankische Staat nehme seine Schutzpflicht im Rahmen des Möglichen wahr. Im Einzelfall könne es durchaus vorkommen, dass die Schutzgewährung unterbleibe oder nicht in ausreichendem Masse gewährt werde. Eine faktische Garantie des Schutzgewährens für langfristigen individuellen Schutz bedrohter Personen könne nicht verlangt werden. Keinem Staat gelinge es, die absolute Sicherheit aller seiner Bürger jederzeit und überall zu garantieren. Vom Staat könne nicht erwartet werden, dass er jede Person, die einen gewissen Gefährdungsgrad aufweise, einen umfassenden Personenschutz zukommen lasse. Der Beschwerdeführer erfülle somit aufgrund der Schutzfähigkeit und des Schutzwillens der srilankischen Behörden die Anforderungen an die Gewährung einer Einreisebewilligung nicht. Im Übrigen habe sich der Beschwerdeführer zu den Nachstellungen der Unbekannten bei sich zu Hause widersprüchlich geäussert, weshalb Zweifel an den entsprechenden Vorbringen bestehen würden. Im Schreiben vom (...) 2010 habe er zwei Vorfälle, einen am (...) 2009, bei welchem er durch die Hintertür geflohen sei, und einen weiteren am (...) 2010, als die Mutter bedroht worden sei, geschildert. Bei der Befragung habe der Beschwerdeführer jedoch ausgeführt, die Unbekannten seien am (...) 2010 das erste Mal vor dem Haus vorgefahren, und er habe durch die Hintertür entkommen können. Wann die Bedroher erneut vorbeigekommen seien, habe er nicht mehr gewusst.</w:t>
      </w:r>
    </w:p>
    <w:p>
      <w:r>
        <w:rPr>
          <w:b/>
        </w:rPr>
        <w:t>E. 5.2</w:t>
      </w:r>
    </w:p>
    <w:p>
      <w:r>
        <w:t>In der Rechtsmitteleingabe macht der Beschwerdeführer geltend, die Unbekannten, welche vermutlich ehemalige Mitglieder der TMVP seien und ihn umbringen wollten, seien bewaffnet. Aus Angst getötet zu werden, lebe er abwechslungsweise bei verschiedenen Verwandten und verlasse das Haus nicht; er lebe wie ein Gefangener. Kürzlich sei seine Mutter erneut von Unbekannten nach ihm gefragt worden, dies obwohl sie bereits früher erklärt habe, dass er das Land verlassen habe. Schliesslich habe er auch Angst, sich an die Polizei zu wenden</w:t>
      </w:r>
    </w:p>
    <w:p>
      <w:r>
        <w:rPr>
          <w:b/>
        </w:rPr>
        <w:t>E. 5.3</w:t>
      </w:r>
    </w:p>
    <w:p>
      <w:r>
        <w:t>Der Beschwerdeführer macht geltend, seit nunmehr eineinhalb Jahren von Unbekannten mit dem Tod bedroht zu werden. Dazu stellt das Gericht fest, dass die allgemeine Situation für die Tamilen insbesondere im Norden und Osten Sri Lankas während des langjährigen Bürgerkriegs sehr schwierig war. Namentlich gab es eine Vielzahl von Gewaltereignissen, Entführungen und "Killings". Insoweit ist es durchaus denkbar, dass der Beschwerdeführer in der Vergangenheit von Unbekannten belästigt und auch bedroht wurde. Allerdings kommt solchen Belästigungen bereits aufgrund ihrer mangelnden Intensität kein Verfolgungscharakter im Sinne von Art. 3 AsylG zu. Hinzu kommt, dass sich die allgemeine Sicherheitslage in Sri Lanka in jüngster Zeit sukzessive verbessert hat. Namentlich können sich die Tamilen im Land freier bewegen, wurden wichtige Verbindungswege wieder dem Verkehr übergeben und das restriktive Passsystem für Aus- und Einreisen nach Jaffna abgeschafft. Vor diesem Hintergrund und insbeson-dere der Tatsache, dass dem Beschwerdeführer seit über eineinhalb Jahren trotz angeblich immer wiederkehrender Todesdrohungen nichts Nachteiliges im Sinne von Art. 3 AsylG widerfahren ist, ist davon auszugehen, dass er in seiner Heimatregion keine asylrelevanten Verfol-gungsmassnahmen zu befürchten hat. Überdies genügt die Angst vor einer allfällig künftig möglichen Bedrohung allein nicht, um auf das Vorliegen einer begründeten Furcht vor künftiger Verfolgung zu schliessen. Der Beschwerdeführer vermag mit den weiteren Ausführungen in der Rechtsmitteleingabe nicht substanziiert darzutun, inwiefern das BFM zu Unrecht geschlossen habe, er sei nicht schutzbedürftig im Sinne des Asylgesetzes, und es sei ihm deshalb die Einreise nicht zu bewilligen. Um Wiederholungen zu vermeiden, kann vollumfänglich auf die zutreffenden Erwägungen in der angefochtenen Verfügung verwiesen werden.</w:t>
      </w:r>
    </w:p>
    <w:p>
      <w:r>
        <w:rPr>
          <w:b/>
        </w:rPr>
        <w:t>E. 5.4</w:t>
      </w:r>
    </w:p>
    <w:p>
      <w:r>
        <w:t>Dem Beschwerdeführer ist es somit nicht gelungen, eine aktuelle und unmittelbare Gefährdung im Sinne von Art. 3 AsylG beziehungsweise konkrete Hinweise auf eine künftige, asylrelevante Verfolgung und eine damit einhergehende, begründete Verfolgungsfurcht darzutun. Ein weiterer Verbleib im Heimatland ist ihm deshalb zumutbar. Das BFM hat demnach dem Beschwerdeführer zu Recht die Einreise in die Schweiz nicht bewilligt und sein Asylgesuch abgelehnt.</w:t>
      </w:r>
    </w:p>
    <w:p>
      <w:r>
        <w:rPr>
          <w:b/>
        </w:rPr>
        <w:t>E. 6</w:t>
      </w:r>
    </w:p>
    <w:p>
      <w:r>
        <w:t>Aus diesen Erwägungen ergibt sich, dass die angefochtene Verfügung Bundesrecht nicht verletzt, den rechtserheblichen Sachverhalt richtig und vollständig feststellt und angemessen ist (Art. 106 AsylG). Die Beschwerde ist daher abzuweisen.</w:t>
      </w:r>
    </w:p>
    <w:p>
      <w:r>
        <w:rPr>
          <w:b/>
        </w:rPr>
        <w:t>E. 7</w:t>
      </w:r>
    </w:p>
    <w:p>
      <w:r>
        <w:t>Bei diesem Ausgang des Verfahrens wären die Kosten grundsätzlich dem Beschwerdeführer aufzuerlegen (Art. 63 Abs. 1 VwVG). Aus verwaltungsökonomischen Gründen sowie in Anwendung von Art. 63 Abs. 1 in fine VwVG und Art. 2 und 6 Bst. b des Reglements vom 21. Februar 2008 über die Kosten und Entschädigungen vor dem Bundesverwaltungsgericht (VGKE, SR 173.320.2) ist vorliegend jedoch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