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E-4958/2006 vom 9. Juli 2010</w:t>
      </w:r>
    </w:p>
    <w:p>
      <w:r>
        <w:t>Bundesverwaltungsgericht, 2010-07-09, FR</w:t>
      </w:r>
    </w:p>
    <w:p>
      <w:r>
        <w:rPr>
          <w:b/>
        </w:rPr>
        <w:t xml:space="preserve">Quelle: </w:t>
      </w:r>
      <w:r>
        <w:t>https://mcp.opencaselaw.ch/entscheid/bvger_E-4958_2006</w:t>
      </w:r>
    </w:p>
    <w:p>
      <w:r>
        <w:t>FR: TAF E-4958/2006 du 9 juillet 2010</w:t>
      </w:r>
    </w:p>
    <w:p>
      <w:r>
        <w:t>IT: TAF E-4958/2006 del 9 luglio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(cf. art. 33 let. d LTAF et art. 105 LAsi). Partant, les recours contre de telles décisions, pendants au 31 décembre 2006 devant l'ancienne CRA, sont également traités par le Tribunal (cf. art. 53 al. 2 phr. 1 LTAF). Celui-ci est donc compétent pour connaître du présent litige. Il statue de manière définitive (cf. art. 83 let. d ch. 1 de la loi du 17 juin 2005 sur le Tribunal fédéral [LTF, RS 173.110]).</w:t>
      </w:r>
    </w:p>
    <w:p>
      <w:r>
        <w:rPr>
          <w:b/>
        </w:rPr>
        <w:t>E. 1.2</w:t>
      </w:r>
    </w:p>
    <w:p>
      <w:r>
        <w:t>La recourante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Les sérieux préjudices au sens de l'art. 3 LAsi doivent être clairement distingués des poursuites pénales ouvertes ou des condamnations prononcées pour réprimer une infraction de droit commun. Les personnes qui s'enfuient pour échapper aux poursuites ou au châtiment pour une infraction de ce genre ne sont normalement pas des réfugiées. En effet, un réfugié est une victime - ou une victime en puissance - de l'injustice, et non une personne qui cherche à fuir la justice. Tout Etat est donc habilité à mettre en oeuvre des mesures de contrainte pour prévenir ou réprimer une infraction (cf. Haut Commissariat des Nations Unies pour les Réfugiés [HCR], Guide des procédures et critères à appliquer pour déterminer le statut de réfugié, Genève, janvier 1992, no 56).</w:t>
      </w:r>
    </w:p>
    <w:p>
      <w:r>
        <w:rPr>
          <w:b/>
        </w:rPr>
        <w:t>E. 2.3.1</w:t>
      </w:r>
    </w:p>
    <w:p>
      <w:r>
        <w:t>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 malus politique »), soit enfin en l'exposant - en sus de mesures de contrainte en soi légitimes - à de graves préjudices telle la torture (cf. Jurisprudence et informations de la Commission suisse de recours en matière d'asile [JICRA] 2000 n° 9 p. 73 ss consid. 5c, JICRA 1996 n° 29 p. 274 ss consid. 2g ; voir aussi JICRA 2006 n° 3 p. 29 ss consid. 4.2 et JICRA 2004 n° 2 p. 12 ss consid. 6b aa ; Minh Son Nguyen, Droit public des étrangers, Berne 203, p. 435 ss).</w:t>
      </w:r>
    </w:p>
    <w:p>
      <w:r>
        <w:rPr>
          <w:b/>
        </w:rPr>
        <w:t>E. 3</w:t>
      </w:r>
    </w:p>
    <w:p>
      <w:r>
        <w:t>En l'occurrence, la recourante a allégué avoir fui l'Irak, de crainte qu'elle-même et ses enfants soient exposés à des pressions, voire à une privation de liberté de la part des autorités de l'UPK en vue d'inciter son époux fugitif à se livrer ou à des représailles de la part de tiers.</w:t>
      </w:r>
    </w:p>
    <w:p>
      <w:r>
        <w:rPr>
          <w:b/>
        </w:rPr>
        <w:t>E. 3.1</w:t>
      </w:r>
    </w:p>
    <w:p>
      <w:r>
        <w:t>Il convient donc de vérifier d'abord si les faits reprochés à son époux sont assimilables à un délit de droit commun et, dans l'affirmative, si celui-ci était exposé à un malus politique. Le Tribunal constate d'abord que les faits en question ont fait l'objet d'une décision de l'ODM, bénéficiant de l'autorité de chose décidée, dans laquelle cet office a nié leur vraisemblance (cf. état de fait, let. Aa). Il retient ensuite qu'il ressort des allégués des intéressés, que l'infraction reprochée à l'époux est de droit commun et ne revêt aucun caractère politique. En effet, la procédure engagée par l'UPK dans la province de Sulaymaniyah porterait sur un flagrant délit de transport d'explosifs. L'époux de la recourante n'a d'ailleurs pas prétendu que l'infraction qui lui était reprochée se serait inscrite, directement ou non, dans le cadre d'une lutte politique. Au contraire, il a déclaré avoir transporté de l'explosif à son insu, dans le cadre de son activité commerciale, et n'avoir jamais exercé d'activité politique. En outre, lors de sa seconde audition, il n'a pas maintenu sa déclaration initiale, selon laquelle il avait été accusé d'avoir agi en faveur du gouvernement central de l'Irak ; il a expliqué que les agents de l'UPK l'avaient accusé d'avoir transporté intentionnellement de l'explosif et qu'ils l'avaient interrogé sur les mobiles et les buts l'ayant poussé à agir ainsi que sur l'instigateur de son acte. Son époux n'a pas non plus prétendu qu'il était poursuivi pour des raisons cachées ayant trait à sa race, à sa religion, à sa nationalité, à son appartenance à un groupe social déterminé ou à ses opinions politiques ou qu'il risquait une aggravation de son sort pour l'une ou l'autre de ces raisons. Il ne peut donc pas être considéré comme un activiste politique en fuite.</w:t>
      </w:r>
    </w:p>
    <w:p>
      <w:r>
        <w:rPr>
          <w:b/>
        </w:rPr>
        <w:t>E. 3.2</w:t>
      </w:r>
    </w:p>
    <w:p>
      <w:r>
        <w:t>Dès lors que, faute de motifs politiques ou analogues au sens de l'art. 3 LAsi, les conditions de la reconnaissance de la qualité de réfugié n'étaient manifestement pas remplies pour son époux, la recourante ne peut en principe pas non plus se prévaloir d'un risque, pour elle et ses enfants, d'être arrêtée en lieu et place de son époux, pour des motifs politiques ou analogues. Dans le cadre de sa propre procédure d'asile, elle n'a apporté aucun indice concret et sérieux permettant d'admettre l'existence, pour des motifs politiques ou analogues, d'une persécution réfléchie déterminante sous l'angle de l'art. 3 LAsi (pour la définition de la persécution réfléchie, cf. JICRA 1994 no 5 consid. 3h p. 39 ss). Dans ces conditions, ses motifs de protection ne sont pas pertinents en matière d'asile.</w:t>
      </w:r>
    </w:p>
    <w:p>
      <w:r>
        <w:rPr>
          <w:b/>
        </w:rPr>
        <w:t>E. 3.3</w:t>
      </w:r>
    </w:p>
    <w:p>
      <w:r>
        <w:t>Pour les mêmes raisons, le risque de représailles contre la recourante et ses enfants, de la part des familles des deux policiers rendus responsables de l'évasion, ne peut pas non plus être mis en relation avec des motifs politiques ou analogues.</w:t>
      </w:r>
    </w:p>
    <w:p>
      <w:r>
        <w:rPr>
          <w:b/>
        </w:rPr>
        <w:t>E. 3.4</w:t>
      </w:r>
    </w:p>
    <w:p>
      <w:r>
        <w:t>En définitive, et sans qu'il faille examiner leur vraisemblance au sens de l'art. 7 LAsi, les motifs avancés par la recourante n'entrent pas dans la définition de ceux exhaustivement énumérés à l'art. 3 LAsi.</w:t>
      </w:r>
    </w:p>
    <w:p>
      <w:r>
        <w:rPr>
          <w:b/>
        </w:rPr>
        <w:t>E. 4</w:t>
      </w:r>
    </w:p>
    <w:p>
      <w:r>
        <w:t>Il s'ensuit que le recours, en tant qu'il conteste le refus de la reconnaissance de la qualité de réfugié de la recourante et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5.2</w:t>
      </w:r>
    </w:p>
    <w:p>
      <w:r>
        <w:t>En l'occurrence, par acte du 27 juin 2008, l'ODM a approuvé la délivrance, par l'autorité cantonale, d'une autorisation de séjour pour cas de rigueur grave. Par même décision, l'ODM a constaté que l'autorisation de séjour octroyée rendait caduque la décision attaquée, en tant qu'elle prononçait le renvoi de la recourante et de ses enfants de Suisse. Par conséquent, le recours, en tant qu'il conteste le prononcé du renvoi de Suisse, est devenu sans objet et doit être radié du rôle.</w:t>
      </w:r>
    </w:p>
    <w:p>
      <w:r>
        <w:rPr>
          <w:b/>
        </w:rPr>
        <w:t>E. 6</w:t>
      </w:r>
    </w:p>
    <w:p>
      <w:r>
        <w:t>Au vu de l'issue de la cause en tant qu'elle porte sur la qualité de réfugié et de l'asile, il y a lieu de mettre à la charge de la recourante des frais de procédure d'un montant de Fr. 400.-, conformément à l'art. 63 al. 1 PA, à l'art. 2 et à l'art. 3 let. b du règlement du 21 février 2008 concernant les frais, dépens et indemnités fixés par le Tribunal administratif fédéral (FITAF, RS 173.320.2). Le recours étant devenu sans objet sur le principe du renvoi, il n'y a lieu en la matière ni de percevoir de frais de procédure (cf. art. 5 FITAF), ni d'allouer des dépens (cf. art. 64 al. 1 PA, art. 7 à art.15 FITAF). En effet, ayant agi en son propre nom, la recourante n'a pas engagé de frais de représentation ; elle n'a de plus pas fait valoir d'autres frais indispensables et relativement élevés.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