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E-4957/2010 vom 15. Dezember 2010</w:t>
      </w:r>
    </w:p>
    <w:p>
      <w:r>
        <w:t>Bundesverwaltungsgericht, 2010-12-15, DE</w:t>
      </w:r>
    </w:p>
    <w:p>
      <w:r>
        <w:rPr>
          <w:b/>
        </w:rPr>
        <w:t xml:space="preserve">Quelle: </w:t>
      </w:r>
      <w:r>
        <w:t>https://mcp.opencaselaw.ch/entscheid/bvger_E-4957_2010</w:t>
      </w:r>
    </w:p>
    <w:p>
      <w:r>
        <w:t>FR: TAF E-4957/2010 du 15 décembre 2010</w:t>
      </w:r>
    </w:p>
    <w:p>
      <w:r>
        <w:t>IT: TAF E-4957/2010 del 15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(vgl. Art. 70 Abs. 1 der Bundesverfassung der Schweizerischen Eidgenossenschaft vom 18. April 1999 [BV, SR 101]). Das Bundes­verwaltungsgericht hat aus Gründen der Verfahrensökonomie jedoch darauf verzichtet, den Beschwerdeführer zur Übersetzung der Be­schwerde in eine Amtsspra­che aufzufordern.</w:t>
      </w:r>
    </w:p>
    <w:p>
      <w:r>
        <w:rPr>
          <w:b/>
        </w:rPr>
        <w:t>E. 1.4</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Die Schweizerische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(Art. 20 Abs. 1 und 2 AsylG). Das Bundesamt kann ein im Ausland gestelltes Asylgesuch ablehnen, wenn die asylsuchende Person keine Verfolgung glaubhaft machen kann (Art. 3 und 7 AsylG) oder ihr die Aufnahme in einem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dazu die in diesem Zusammenhang nach wie vor massgeblichen Entscheidungen und Mitteilungen der Schweizeri­schen Asylrekurskommission [EMARK] 1997 Nr. 15 E. 2e-g; 2005 Nr. 19 E. 4; 2004 Nr. 21 E. 2; 2004 Nr. 20 E. 3b).</w:t>
      </w:r>
    </w:p>
    <w:p>
      <w:r>
        <w:rPr>
          <w:b/>
        </w:rPr>
        <w:t>E. 4.1</w:t>
      </w:r>
    </w:p>
    <w:p>
      <w:r>
        <w:t>Das BFM führte zur Begründung in seiner abweisenden Verfügung vom 30. April 2010 aus, der Beschwerdeführer sei nicht schutzbedürf­tig im Sinne von Art. 3 AsylG. Es drohe ihm seitens der zerschlagenen LTTE keine Gefahr mehr. Auch sei von staatlicher Seite aus nicht mit erheblichen Nachteilen zu rechnen, da diese ihn zwar vorgeladen und verhört, aber dann immer wieder freigelassen habe. Darüber hinaus sei die TMVP im Begriff, sich aufzulösen; daher habe er vonseiten dieser Gruppierung keine asylrelevante Bedrohung zu befürchten. Gegen mögliche kriminelle Übergriffe und für die Schutzsuche habe er sich an die lokalen Sicherheitskräfte zu wenden. Das Asylgesuch sei daher abzulehnen und die Einreise sei nicht zu bewilligen.</w:t>
      </w:r>
    </w:p>
    <w:p>
      <w:r>
        <w:rPr>
          <w:b/>
        </w:rPr>
        <w:t>E. 4.2</w:t>
      </w:r>
    </w:p>
    <w:p>
      <w:r>
        <w:t>Der Beschwerdeführer machte demgegenüber im Wesentlichen einerseits die missliche Sicherheitslage im Osten von Sri Lanka gel­tend; anderseits führe er durch seinen Aufenthalt im Versteck und durch die nächtlichen Besuche der unbekannten Männer ein un­menschliches Leben.</w:t>
      </w:r>
    </w:p>
    <w:p>
      <w:r>
        <w:rPr>
          <w:b/>
        </w:rPr>
        <w:t>E. 5.1</w:t>
      </w:r>
    </w:p>
    <w:p>
      <w:r>
        <w:t>Nach der Prüfung der Akten gelangt das Bundesverwaltungsge­richt zum Schluss, dass die Vorinstanz richtig feststellte, dass der Be­schwerdeführer nicht schutzbedürftig im Sinne von Art. 3 AsylG ist, weshalb sie zu Recht das Asylgesuch abwies und die Einreise verwei­gerte.</w:t>
      </w:r>
    </w:p>
    <w:p>
      <w:r>
        <w:rPr>
          <w:b/>
        </w:rPr>
        <w:t>E. 5.2</w:t>
      </w:r>
    </w:p>
    <w:p>
      <w:r>
        <w:t>Bewaffnete Konflikte haben leidvolle Auswirkungen, insbesondere auf weite Teile der Zivilbevölkerung, die vor den Kriegsfolgen ausser Landes oder in andere Regionen flüchtet. Bei den Leiden, die das Volk auch nach einem Krieg zu ertragen hat, ist nicht nur an materielle Ver­luste, sondern auch an die psychische Gesundheit der Menschen in Sri Lanka zu denken. Unter die Nachwirkungen des Krieges fallen auch die zwischen immer noch feindlich gesinnten Geg­nern ge­führten Scharmützel oder mögliche Bombenexplosionen wie diejenige vom 17. Sep­tember 2010 in Batti­caloa. Auch in Angriff ge­nommene Auf­räumarbeiten oder die Vergan­genheitsbewältigung for­dern nach einem offiziellen Kriegsende ihre Tribute. Von solchen Ereignissen betroffene Personen sind in der Regel indes nicht gezielt verfolgt. Individuell ge­zielte Nach­teile im Sinne von Art. 3 AsylG sind erst dann anzuneh­men, wenn die schutzsuchende Person nicht lediglich den gleichen Risiken und Ein­schränkungen wie die gesamte Bevölkerung ihres Heimatstaates ausgesetzt ist, und somit von den Ereignissen nicht lediglich "reflex­artig", im Sinne ungezielter "Neben­folgen" eines Krieges betroffen ist (vgl. EMARK 1998 Nr. 17 E. 4c.bb).</w:t>
      </w:r>
    </w:p>
    <w:p>
      <w:r>
        <w:rPr>
          <w:b/>
        </w:rPr>
        <w:t>E. 5.3</w:t>
      </w:r>
    </w:p>
    <w:p>
      <w:r>
        <w:t>Im laufenden Jahr hat sich nach Angaben von UNHCR die Si­cherheitslage in Sri Lanka in bedeutender Weise stabilisiert. Die Not­standsgesetze wurden gelockert und im August 2009 konnten rund 280'000 Personen - darunter der Beschwerdeführer und seine Ehefrau - aus den IDP-Lagern in ihre Herkunftsorte zurückkehren (UNHCR, Richtlinien zur Feststellung des internationalen Schutzbedarfs srilan­kischer Asylsuchender, Juli 2010, S. 1 f.). Im Mai 2010 sollen sich zwar noch ca. 9'000 vermeintliche ehemalige LTTE-Kader in geschlossenen Lagern (Rehabilitierungscamps) befunden haben (UNHCR, a.a.O., S. 4; andere Quellen berichten von ca. 11'000 Gefangenen, vgl. HRW [Human Rights Watch], Legal Limbo, The Uncertain Fate of Detained LTTE-Suspects in Sri Lanka, Februar 2010, S. 1), doch ist aufgrund der Freilassung des Beschwerdeführers aus dem IDP-Camp F._______ in Vavuniya und der Entlassung aus dem Verhör im H._______ Camp davon auszugehen, dass der Beschwerdeführer trotz seiner LTTE-Vergangenheit nicht das Profil der LTTE-Kader aufweist, welche im Visier der srilankischen Regierung zu sein scheinen und noch immer in den sogenannten Rehabilitation-Centers gefangen ge­halten werden.</w:t>
      </w:r>
    </w:p>
    <w:p>
      <w:r>
        <w:rPr>
          <w:b/>
        </w:rPr>
        <w:t>E. 5.4</w:t>
      </w:r>
    </w:p>
    <w:p>
      <w:r>
        <w:t>Hinsichtlich der vorgebrachten Gefahr der LTTE ist davon auszu­gehen, dass es seit dem Ende des Bürgerkriegs keine Aktivitäten der LTTE gegeben hat; auch verfügt diese Gruppierung über keine hand­lungsfähige Struktur mehr. Eine landesweite Verfolgung durch die LTTE ist daher auszuschlies­sen.</w:t>
      </w:r>
    </w:p>
    <w:p>
      <w:r>
        <w:rPr>
          <w:b/>
        </w:rPr>
        <w:t>E. 5.5</w:t>
      </w:r>
    </w:p>
    <w:p>
      <w:r>
        <w:t>Es soll ferner nicht in Abrede gestellt werden, dass nach der im Jahr 2004 erfolgten Spaltung der LTTE in zwei Fraktionen - der TMVP unter der Leitung von Vinayagamurthy Muralitharan alias Oberst Ka­runa im Osten des Landes und der LTTE unter Führung ihres Ober­hauptes Veluppilai Prabhakaran im Norden - heftige Kämpfe ausge­brochen sind, denen zahlreiche Menschen zum Opfer gefallen sind. Zudem ist bekannt, dass die Mitglieder der tamilischen TMVP, welche von der singhalesischen Regierung bei der Aufstandsbekämpfung eingesetzt wurde, während des Krieges Menschen entführten, unge­setzliche Tötungen begingen und Kindersoldaten rekrutierten (vgl. Amnes­ty International, Amnesty Report 2010 Sri Lanka). Nichtsdestotrotz bleibt festzuhalten, dass sich nach dem militärischen Sieg der srilan­kischen Armee die menschenrechtliche Lage in Sri Lanka generell beruhigt hat und die Zahl der Gewaltereignisse im ganzen Land er­heblich zurückgegangen ist. Gleichzeitig hat sich die TMVP zu einer etablierten Partei entwickelt und agiert heute nicht mehr als militante Gruppierung. Allerdings kann nach dem Ende eines Bürgerkriegs nicht ausgeschlossen werden, dass Freischärler weiter die Zivilbevölkerung bedrohen, entführen und erpressen wollen. Diese Behelligungen sollten indes von den zuständigen lokalen Polizeistellen geahndet werden, weshalb sich der Beschwerdeführer für die Schutzsuche an diese zu wenden hat.</w:t>
      </w:r>
    </w:p>
    <w:p>
      <w:r>
        <w:rPr>
          <w:b/>
        </w:rPr>
        <w:t>E. 5.6</w:t>
      </w:r>
    </w:p>
    <w:p>
      <w:r>
        <w:t>Mit Eingabe vom 13. April 2010 gibt der Beschwerdeführer an, nach dem Interview in der Schweizerischen Botschaft vom (...) 2010 auf dem Nachhauseweg überfallen worden zu sein. Da dies vom BFM nicht berücksichtigt werden konnte, wurde dem Beschwerdefüh­rer im Rahmen der Bescherdeinstruktion Ge­legenheit gegeben, sich zu konkreten und aktuellen Verfol­gungsmassnahmen gegen seine Person zu äussern. Da er in seiner Eingabe vom 12. Oktober 2010 keine konkreten von ihm zwischenzeit­lich erlit­tenen Nachteile vor­bringt, ist davon auszugehen, dass er kei­nen aktuellen Schutz der Schweiz benötigt. Dabei wurde auch berücksichtigt, dass sich der Be­schwerdeführer derzeit versteckt hält. Hätten es die Behörden oder die TMVP tatsächlich auf den Beschwerdeführer ab­gesehen, würden die­se Leute mindestens seine Familie aufsuchen und diese unter Druck setzen, was indes vom Beschwerdeführer nicht eingewendet wurde.</w:t>
      </w:r>
    </w:p>
    <w:p>
      <w:r>
        <w:rPr>
          <w:b/>
        </w:rPr>
        <w:t>E. 5.7</w:t>
      </w:r>
    </w:p>
    <w:p>
      <w:r>
        <w:t>Zusammenfassend ist festzuhalten, dass es dem Beschwerdefüh­rer nicht gelungen ist, eine individuelle und aktuelle Verfolgung im Sinne von Art. 3 AsylG glaubhaft zu machen. Das BFM hat demnach dem Beschwerdeführer zu Recht die Einreise in die Schweiz verwei­gert beziehungsweise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