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E-4956/2011 vom 3. Oktober 2011</w:t>
      </w:r>
    </w:p>
    <w:p>
      <w:r>
        <w:t>Bundesverwaltungsgericht, 2011-10-03, FR</w:t>
      </w:r>
    </w:p>
    <w:p>
      <w:r>
        <w:rPr>
          <w:b/>
        </w:rPr>
        <w:t xml:space="preserve">Quelle: </w:t>
      </w:r>
      <w:r>
        <w:t>https://mcp.opencaselaw.ch/entscheid/bvger_E-4956_2011</w:t>
      </w:r>
    </w:p>
    <w:p>
      <w:r>
        <w:t>FR: TAF E-4956/2011 du 3 octobre 2011</w:t>
      </w:r>
    </w:p>
    <w:p>
      <w:r>
        <w:t>IT: TAF E-4956/2011 del 3 ottobre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La recourante a qualité pour recourir (art. 48 al. 1 PA). Présenté dans la forme (art. 52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LAsi).</w:t>
      </w:r>
    </w:p>
    <w:p>
      <w:r>
        <w:rPr>
          <w:b/>
        </w:rPr>
        <w:t>E. 2.2.1</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JICRA 1993 n° 11 p. 67 ss ; Walter Kälin, op. cit., p. 307 et 312).</w:t>
      </w:r>
    </w:p>
    <w:p>
      <w:r>
        <w:rPr>
          <w:b/>
        </w:rPr>
        <w:t>E. 3.1</w:t>
      </w:r>
    </w:p>
    <w:p>
      <w:r>
        <w:t>En l'occurrence, c'est à juste titre que l'ODM a considéré que les déclarations de la recourante n'étaient pas vraisemblables. En effet, le Tribunal considère que l'intéressée s'est exprimée de façon contradictoire et a tenu des propos insuffisamment fondés. Tout d'abord, l'intéressée a affirmé, lors de sa première audition, que les cinq inconnus lui avaient uniquement promis des avantages financiers si elle tuait son patron, lors de leur visite du 19 janvier 2011 (pv de son audition sommaire p. 5). Au cours de sa seconde audition, elle a ajouté que ces hommes avaient également menacé de la tuer si elle ne s'exécutait pas, lors de leur première visite (pv de son audition fédérale p. 7, question n° 75). Les hommes seraient revenus le 20 janvier 2011, tantôt pour lui remettre une avance de 500 dollars (pv de son audition sommaire p. 5), tantôt simplement pour lui demander pour quelles raisons elle n'avait pas empoisonné son patron (pv de son audition fédérale p. 7, question n° 79). Selon cette deuxième version, les inconnus seraient revenus une troisième fois le 21 janvier 2011 pour lui remettre l'avance de 500 dollars. Interrogée sur cette contradiction, la recourante a confirmé sa seconde version des faits (pv de son audition fédérale p. 7, question n° 80). En outre, subsiste la contradiction portant sur la date à laquelle l'intéressée aurait fui chez son amie, le 20 janvier 2011 (pv de son audition sommaire p. 5) ou le 22 janvier 2011 (pv de son audition fédérale p. 7, question n° 79). Quoi qu'il en soit, il n'est pas crédible que les inconnus l'aient menacée de mort si elle ne s'exécutait pas et que, bien qu'elle n'ait pas obtempéré, lui aient remis la somme de 500 dollars, lui laissant ainsi l'occasion de s'enfuir avec cet argent. Ensuite, il n'est pas crédible que l'intéressée ne se soit pas plainte à son patron ou n'ait pas parlé de la requête de ces hommes à la femme de celui-ci ou à ses collègues. Au demeurant, la recourante ignore le nom précis de son employeur (pv de son audition fédérale p. 4, question n° 30) et ses explications quant à savoir comment elle aurait appris la profession qu'il exerçait sont incohérentes (pv de son audition fédérale p. 4, questions n° 34 à 37). Enfin, concernant son voyage jusqu'en Suisse, la recourante ignore la ville italienne dans laquelle elle aurait atterri, se contentant de dire qu'elle n'avait pas prêté attention à l'annonce faite à ce sujet dans l'avion (pv de son audition fédérale p. 3, questions n° 21 à 23). Il est étonnant qu'elle ne l'ait pas demandé à l'homme qui l'aurait accompagnée, ainsi qu'elle l'aurait fait pour l'escale à Addis Abeba (pv de son audition fédérale p. 3, question n° 23). Par ailleurs, elle ignore tout de la personne qui a organisé son voyage et qui l'a accompagnée (pv de son audition fédérale p. 2 et 3, questions n° 13 à 16). De plus, il n'est pas crédible qu'elle ignore avec quel document elle aurait voyagé, qu'elle ne se soit pas renseignée sur l'identité à laquelle le passeport d'emprunt aurait été émis et qu'elle n'ait pas dû présenter elle-même ce document aux frontières (pv de son audition fédérale p. 3, questions n° 17 à 19). Pour le reste, il est renvoyé, en ce qui concerne l'invraisemblance des déclarations de la recourante, aux considérants de la décision entreprise.</w:t>
      </w:r>
    </w:p>
    <w:p>
      <w:r>
        <w:rPr>
          <w:b/>
        </w:rPr>
        <w:t>E. 3.2</w:t>
      </w:r>
    </w:p>
    <w:p>
      <w:r>
        <w:t>Il ressort de ce qui précède que les motifs exposés par la recourante ne répondent manifestement pas aux exigences de vraisemblance fixées par l'art. 7 LAsi. L'argumentation fournie par l'intéressée dans son mémoire de recours n'est pas propre à modifier l'appréciation de l'autorité de céans quant aux invraisemblances relevées.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6.3.1</w:t>
      </w:r>
    </w:p>
    <w:p>
      <w:r>
        <w:t>En l'occurrence, force est de constater que la recourante n'a pas rendu vraisemblable, pour les motifs exposés au considérant 3, l'existence d'un risque réel, fondé sur des motifs sérieux et avérés, d'être exposée, en cas de renvoi en République démocratique du Congo (RDC), à un traitement prohibé par les art. 3 CEDH et 3 Conv. torture.</w:t>
      </w:r>
    </w:p>
    <w:p>
      <w:r>
        <w:rPr>
          <w:b/>
        </w:rPr>
        <w:t>E. 6.4</w:t>
      </w:r>
    </w:p>
    <w:p>
      <w:r>
        <w:t>Dès lors, l'exécution du renvoi de la recourante et de sa fille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Tribunal administratif fédéral [ATAF] 2009/52 consid. 10.1, ATAF 2008/34 consid. 11.2.2 et ATAF 2007/10 consid. 5.1).</w:t>
      </w:r>
    </w:p>
    <w:p>
      <w:r>
        <w:rPr>
          <w:b/>
        </w:rPr>
        <w:t>E. 7.2</w:t>
      </w:r>
    </w:p>
    <w:p>
      <w:r>
        <w:t>S'agissant de la situation générale régnant actuellement en RDC, en dépit des tensions prévalant toujours notamment dans l'est du pays,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 (cf. arrêt du Tribunal administratif D-7446/2010 du 7 mars 2011 p. 7 et 8 et jurisp. cit.).</w:t>
      </w:r>
    </w:p>
    <w:p>
      <w:r>
        <w:rPr>
          <w:b/>
        </w:rPr>
        <w:t>E. 7.3</w:t>
      </w:r>
    </w:p>
    <w:p>
      <w:r>
        <w:t>Il sied donc d'examiner si, en raison d'éléments liés à la personne de la recourante, l'exécution du renvoi impliquerait une mise en danger concrète de celle-ci et de sa fille.</w:t>
      </w:r>
    </w:p>
    <w:p>
      <w:r>
        <w:rPr>
          <w:b/>
        </w:rPr>
        <w:t>E. 7.4</w:t>
      </w:r>
    </w:p>
    <w:p>
      <w:r>
        <w:t>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n° 33 consid. 8.3 p. 237 ; jurisprudence confirmée: cf. arrêt du Tribunal administratif fédéral D-821/2010 du 24 septembre 2010 p. 7).</w:t>
      </w:r>
    </w:p>
    <w:p>
      <w:r>
        <w:rPr>
          <w:b/>
        </w:rPr>
        <w:t>E. 7.5</w:t>
      </w:r>
    </w:p>
    <w:p>
      <w:r>
        <w:t>En l'occurrence, l'intéressée est jeune, a vécu depuis sa naissance à Kinshasa, jusqu'à son départ du pays il n'y a qu'environ huit mois. Il est donc présumé qu'elle dispose sur place d'un réseau social. Elle y possède également un réseau familial, composé de sa fille aînée et de son mari, dont elle n'a pas établi être actuellement encore sans nouvelle. De plus, l'intéressée n'a pas établi que son frère, qui aurait vécu avec elle et se serait occupé de sa fille aînée, serait décédé en 2009, vu les explications vagues qu'elle a données à ce sujet (cf. pv de son audition fédérale p. 6, question n° 63). Elle dispose en outre d'une expérience professionnelle de plusieurs années comme aide de maison et n'a du reste jamais invoqué avoir connu de problèmes de nature économique, ce qui est confirmé par les ressources dont elle a fait preuve pour venir en Europe. Ainsi, en cas de retour, elle pourra subvenir à ses besoins et à ceux de ses enfants, avec l'appui de son époux (commerçant), ainsi que ce fut le cas durant les nombreuses années qui ont précédé son départ. Par ailleurs, la recourante n'a pas allégué de problème de santé pour elle-même ou pour sa fille.</w:t>
      </w:r>
    </w:p>
    <w:p>
      <w:r>
        <w:rPr>
          <w:b/>
        </w:rPr>
        <w:t>E. 7.6</w:t>
      </w:r>
    </w:p>
    <w:p>
      <w:r>
        <w:t>Dans ces conditions, au vu de l'ensemble des circonstances du cas d'espèce, le Tribunal arrive à la conclusion que l'exécution du renvoi de la recourante et de sa fille en RDC doit être considérée comme raisonnablement exigible au sens de l'art. 83 al. 4 LEtr.</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(art. 111a al. 1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d'un montant de Fr. 600.-, à la charge de la recourante, conformément aux art. 63 al. 1 PA et 2 e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