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E-4956/2008 vom 29. September 2009</w:t>
      </w:r>
    </w:p>
    <w:p>
      <w:r>
        <w:t>Bundesverwaltungsgericht, 2009-09-29, DE</w:t>
      </w:r>
    </w:p>
    <w:p>
      <w:r>
        <w:rPr>
          <w:b/>
        </w:rPr>
        <w:t xml:space="preserve">Quelle: </w:t>
      </w:r>
      <w:r>
        <w:t>https://mcp.opencaselaw.ch/entscheid/bvger_E-4956_2008</w:t>
      </w:r>
    </w:p>
    <w:p>
      <w:r>
        <w:t>FR: TAF E-4956/2008 du 29 septembre 2009</w:t>
      </w:r>
    </w:p>
    <w:p>
      <w:r>
        <w:t>IT: TAF E-4956/2008 del 29 settembre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Die Beschwerdeführenden sind durch die angefochtene Verfügung berührt und haben ein schutzwürdiges Interesse an deren Aufhebung beziehungsweise Änderung. Die Beschwerdeführenden sind daher zur Einreichung der Beschwerde legitimiert (Art. 108 Abs. 1 AsylG, Art. 6 AsylG i.V.m. Art. 48 Abs. 1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Das BFM kann ein im Ausland gestelltes Asylgesuch ablehnen, wenn die asylsuchende Person keine Verfolgung glaubhaft machen oder ihr die Aufnahme in einem Drittstaat zugemutet werden kann (vgl. Art. 3, Art. 7 und Art. 52 [Abs. 2] AsylG). Bei einem Asylgesuch aus einem Drittstaat ist im Sinne einer Regelvermutung davon auszugehen, die betreffende Person habe dort bereits anderweitig Schutz gefunden, was in der Regel zur Ablehnung des Asylgesuchs und zur Verweigerung der Einreisebewilligung führt (vgl. Alberto Achermann/Christina Hausammann, Handbuch des Asylrechts, 2. Aufl., Bern/Stuttgart 1991, S. 158 f; Mario Gattiker, Das Asyl- und Wegweisungsverfahren, 3. Aufl., Bern 1999, S. 23). Gemäss der diesbezüglich von der Schweizerische Asylrekurskommission (ARK) entwickelten und weiterhin zutreffenden Praxis sind die Voraussetzungen zur Erteilung einer Einreisebewilligung grundsätzlich restriktiv zu umschreiben, wobei den Behörden ein weiter Ermessensspielraum zukommt. Neben der erforderlichen Gefährdung im Sinne von Art. 3 AsylG sind namentlich die Art und Nähe der persönlichen Beziehung zur Schweiz, die Möglichkeit der Schutzgewährung durch einen anderen Staat und die Art der Beziehung zu diesem Land, die praktische Möglichkeit und objektive Zumutbarkeit zur anderweitigen Schutzsuche sowie die voraussichtlichen Möglichkeiten der Eingliederung und Assimilation in der Schweiz in Betracht zu ziehen. Ausschlaggebend für die Erteilung der Einreisebewilligung ist demnach die Prüfung der Fragen, ob eine Gefährdung im Sinne von Art. 3 AsylG glaubhaft gemacht wird und ob der Verbleib am Aufenthaltsort für die Dauer der Sachverhaltsabklärung zugemutet werden kann (vgl. zum Ganzen etwa Entscheidungen und Mitteilungen der ARK [EMARK] 1997 Nr. 15 E. 2 f.).</w:t>
      </w:r>
    </w:p>
    <w:p>
      <w:r>
        <w:rPr>
          <w:b/>
        </w:rPr>
        <w:t>E. 3</w:t>
      </w:r>
    </w:p>
    <w:p>
      <w:r>
        <w:t>Zur Frage, ob die Beschwerdeführenden vor ihrer Ausreise in den Irak in ihrem Heimatstaat einer unmittelbaren Gefährdung im Sinne von Art. 3 AsylG ausgesetzt waren beziehungsweise ob im aktuellen Zeitpunkt, bei einer allfälligen Rückkehr in die Türkei, Hinweise auf das Vorhandensein einer begründeten Furcht vor (erneuter) staatlicher Verfolgung vorliegen, ist vorweg Folgendes festzuhalten: Die schriftlichen Ausführungen der Beschwerdeführenden sowie die (allerdings teilweise nur in Form von Fotokopien) eingereichten Beweismittel lassen durchaus nachvollziehbare Hinweise erkennen, die auf eine flüchtlingsrechtlich relevante Gefährdungslage bezüglich des Heimatlands Türkei schliessen lassen. Auch die Vorinstanz hatte festgehalten, es gebe Anhaltpunkte für die Annahme, die Beschwerdeführenden könnten in ihrem Heimatstaat einer politisch motivierten Verfolgung ausgesetzt sein. Ob diese Vorbringen den Anforderungen von Art. 3 AsylG genügen würden, lässt sich aufgrund der derzeitigen Aktenlage zwar nicht abschliessend beurteilen; die Frage kann aber, wie nachfolgend ausgeführt wird, offen bleiben.</w:t>
      </w:r>
    </w:p>
    <w:p>
      <w:r>
        <w:rPr>
          <w:b/>
        </w:rPr>
        <w:t>E. 4.1</w:t>
      </w:r>
    </w:p>
    <w:p>
      <w:r>
        <w:t>Vor dem Hintergrund von Art. 52 (Abs. 2) AsylG als erstes zu prüfen, ob es andere Staaten gibt, in welchen es den Beschwerdeführenden zugemutet werden kann, sich um eine Schutzgewährung respektive um Asyl zu bemühen. Da sich die Beschwerdeführenden zur Zeit im Nordirak befinden, und es nach dem oben Gesagten grundsätzlich naheliegt, dass sie sich vorab dort um Schutzgewährung bemühen, ist zunächst die von der Vorinstanz bejahte Frage der Zumutbarkeit der Bemühung um Aufnahme im Irak zu prüfen.</w:t>
      </w:r>
    </w:p>
    <w:p>
      <w:r>
        <w:rPr>
          <w:b/>
        </w:rPr>
        <w:t>E. 4.2</w:t>
      </w:r>
    </w:p>
    <w:p>
      <w:r>
        <w:t>Die Beschwerdeführenden weisen in diesem Zusammenhang insbesondere darauf hin, der Irak habe das Abkommen vom 28. Juli 1951 über die Rechtsstellung der Flüchtlinge (FK, SR 0.142.30) nicht ratifiziert; es könne daher weder mit einem ordentlichen Asylverfahren gerechnet noch eine allfällige Rückschiebung ausgeschlossen werden.</w:t>
      </w:r>
    </w:p>
    <w:p>
      <w:r>
        <w:rPr>
          <w:b/>
        </w:rPr>
        <w:t>E. 4.2.1</w:t>
      </w:r>
    </w:p>
    <w:p>
      <w:r>
        <w:t>Die Beschwerdeführenden sind gemäss eigenen Angaben einfache Mitglieder der PKK gewesen. Der Beschwerdeführer hat nach einer politischen und militärischen Ausbildung im Nordirak verschiedene politische Aktivitäten ausgeführt; die Beschwerdeführerin will für die PKK im Nordirak politisch und in Ausbildungsbelangen aktiv gewesen sein - gemäss einer vorliegenden Bestätigung des H._______ ist sie dort Mitarbeiterin (...) gewesen. Es ist demnach nicht anzunehmen, die Beschwerdeführenden verfügten über besondere parteiinterne Kenntnisse oder über geheime Informationen der PKK. Damit weisen sie offensichtlich kein besonderes persönliches Gefährdungsprofil auf. Vor diesem Hintergrund ist nach Auffassung des Bundesverwaltungsgerichts allein ihr Austritt aus der PKK nicht geeignet, um bereits auf eine von der PKK ausgehende, real drohende Gefährdung schliessen zu können. Dass die PKK kein erhebliches Interesse an den abtrünnigen Beschwerdeführenden (gehabt) hat, wird letztlich auch durch den Umstand bestätigt, dass diese seit Verlassen des H._______ ungefähr im (...) offenbar stets in C._______ leben konnten und nach wie vor dort wohnen, ohne für diese längere Zeitspanne irgendwelche Behelligungen durch die PKK geltend zu machen.</w:t>
      </w:r>
    </w:p>
    <w:p>
      <w:r>
        <w:rPr>
          <w:b/>
        </w:rPr>
        <w:t>E. 4.2.2</w:t>
      </w:r>
    </w:p>
    <w:p>
      <w:r>
        <w:t>Soweit die Beschwerdeführenden befürchten, von den Behörden im Nordirak in die Türkei abgeschoben zu werden, ist festzuhalten, dass sich im Nordirak nach Kenntnis des Bundesverwaltungsgerichts zahlreiche PKK-Abtrünnige der Kurdischen Demokratischen Partei (KDP) oder der Patriotischen Union Kurdistans (PUK) angeschlossen haben, wobei diese zum Teil befragt und/oder mitunter eine gewisse Zeit unter Hausarrest gestellt worden sind. Teilweise soll es auch zu Inhaftierungen von PKK-Abtrünnigen gekommen sein, wobei offenbar auch in diesem Zusammenhang das jeweilige persönliche Profil der Betroffenen eine massgebende Rolle gespielt hat. Die Beschwerdeführenden haben keine solchen Massnahmen der nordirakischen Behörden geltend gemacht. Da beide, wie bereits erwähnt, kein besonderes Gefährdungsprofil aufweisen - weder sind sie ranghohe Mitglieder der PKK gewesen noch verfügen sie über ein besonderes Geheimwissen - ist auch vor diesem Hintergrund nicht mit beachtlicher Wahrscheinlichkeit davon auszugehen, die Beschwerdeführenden würden in naher Zukunft ins Visier der nordirakischen Behörden geraten und Gefahr laufen, in die Türkei abgeschoben oder sonst behelligt zu werden. Dies gilt vorliegend um so mehr angesichts der Tatsache, dass sie nun seit (...) in C._______ leben und für diese Zeit auch keine konkreten Nachteile seitens der dortigen Behörden geltend gemacht haben. Die nunmehr während längerer Zeit realisierte Möglichkeit der Wohnsitznahme in C._______ lässt den Schluss zu, sie hätten ihren diesbezüglichen Status regeln können beziehungsweise es sei ihnen möglich und zuzumuten, die entsprechenden Schritte bei den zuständigen städtischen Behörden von C._______ einzuleiten. Nebenbei ist festzuhalten, dass auch die eingereichten Familienfotos aus C._______ nicht den Eindruck eines besonders klandestinen Aufenthalts an diesem Ort zu vermitteln vermögen. Der Einwand des fehlenden Beziehungsnetzes (vgl. schriftliches Asylgesuch S. 4) ist nicht behelflich, zumal auch davon ausgegangen werden darf, dass die inzwischen Eltern gewordenen Beschwerdeführenden während der längeren Wohnsitznahme in C._______ verschiedene soziale Beziehungen geknüpft haben.</w:t>
      </w:r>
    </w:p>
    <w:p>
      <w:r>
        <w:rPr>
          <w:b/>
        </w:rPr>
        <w:t>E. 4.2.3</w:t>
      </w:r>
    </w:p>
    <w:p>
      <w:r>
        <w:t>Insgesamt ergeben sich keine Anhaltspunkte, die darauf schliessen liessen, es sei den Beschwerdeführenden praktisch unmöglich oder objektiv unzumutbar, sich im Irak, namentlich im Nordirak, um dauerhaften Schutz und Aufenthalt zu bemühen.</w:t>
      </w:r>
    </w:p>
    <w:p>
      <w:r>
        <w:rPr>
          <w:b/>
        </w:rPr>
        <w:t>E. 4.3</w:t>
      </w:r>
    </w:p>
    <w:p>
      <w:r>
        <w:t>Gestützt auf die vorliegenden Akten kommt das Bundesverwaltungsgericht auch zum Schluss, dass das BFM grundsätzlich zutreffend festgestellt hat, allein der in der Schweiz lebende (...) der Beschwerdeführerin lasse noch nicht den Schluss einer besonders nahen Beziehung zur Schweiz zu.</w:t>
      </w:r>
    </w:p>
    <w:p>
      <w:r>
        <w:rPr>
          <w:b/>
        </w:rPr>
        <w:t>E. 5</w:t>
      </w:r>
    </w:p>
    <w:p>
      <w:r>
        <w:t>Die persönliche Situation der Beschwerdeführenden unterscheidet sich in verschiedener Hinsicht deutlich von derjenigen der Person, deren Vorbringen das Bundesverwaltungsgericht im Beschwerdeverfahren D-237/2008 zu beurteilen hatte.</w:t>
      </w:r>
    </w:p>
    <w:p>
      <w:r>
        <w:rPr>
          <w:b/>
        </w:rPr>
        <w:t>E. 5.1</w:t>
      </w:r>
    </w:p>
    <w:p>
      <w:r>
        <w:t>Dem diesbezüglichen Urteil vom 6. Juni 2007 - auf das die Beschwerdeführenden wiederholt hingewiesen haben - ist erstens zu entnehmen, dass die dortige Beschwerdeführerin aufgrund ihrer konkreten Aktivitäten im Bereich der Öffentlichkeitsarbeit der PKK über brisantes Geheimwissen der Organisation verfügt hatte. Zweitens hatte sie eine konkrete Furcht glaubhaft gemacht, im Nordirak durch die PKK behelligt oder durch die Behörden in die Türkei abgeschoben (oder ausgehorcht und dann als Spionin der PKK übergeben) zu werden, weshalb sie aus Sicherheitsgründen immer wieder den Wohnort habe wechseln müssen. Und drittens war die persönliche Beziehung dieser Beschwerdeführerin zur Schweiz offensichtlich deutlich tiefer als diejenige der Beschwerdeführenden des vorliegenden Verfahrens.</w:t>
      </w:r>
    </w:p>
    <w:p>
      <w:r>
        <w:rPr>
          <w:b/>
        </w:rPr>
        <w:t>E. 5.2</w:t>
      </w:r>
    </w:p>
    <w:p>
      <w:r>
        <w:t>Das Bundesverwaltungsgericht schliesst sich deshalb der Auffassung der Beschwerdeführenden nicht an, die beiden Verfahren seien "fast deckungsgleich" (vgl. Beschwerde S. 3 f.). Im Gegensatz zu jenem Verfahren ist es den Beschwerdeführenden - insbesondere aufgrund ihres offensichtlich nicht vergleichbaren persönlichen Gefährdungsprofils - nicht gelungen, die Vermutung der zumutbaren Unterschutzstellung im Drittstaat (vgl. oben, E. 2.2) zu widerlegen. Von einer Verletzung des Gleichbehandlungsgrundsatzes (vgl. Beschwerde S. 5) kann jedenfalls nicht die Rede sein.</w:t>
      </w:r>
    </w:p>
    <w:p>
      <w:r>
        <w:rPr>
          <w:b/>
        </w:rPr>
        <w:t>E. 6</w:t>
      </w:r>
    </w:p>
    <w:p>
      <w:r>
        <w:t>Nach dem Gesagten ist zusammenfassend festzuhalten, dass die Beschwerdeführenden über die Möglichkeit einer anderweitigen Schutzsuche im Nordirak verfügen, wo sie sich - offenbar ohne nennenswerte Probleme - seit (...) aufhalten, und dass sie keine besonders nahen persönlichen Beziehungen zur Schweiz haben. Unter diesen Umständen hat die Vorinstanz zu Recht ihre Einreisebewilligung verweigert und ihr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wären die Kosten den Beschwerdeführenden aufzuerlegen (Art. 63 Abs. 1 VwVG, Art. 1-3 des Reglements vom 21. Februar 2008 über die Kosten und Entschädigungen vor dem Bundesverwaltungsgericht [VGKE, SR 173.320.2]); diese sind vorliegend in Gutheissung des Gesuchs um Gewährung der unentgeltlichen Rechtspflege zu erlassen, nachdem aufgrund der Akten von der prozessualen Bedürftigkeit der Beschwerdeführenden ausgegangen werden darf und ihre Beschwerdebegehren nicht aussichtslos im Sinne von Art. 65 Abs. 1 VwVG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