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E-4954/2013 vom 12. September 2013</w:t>
      </w:r>
    </w:p>
    <w:p>
      <w:r>
        <w:t>Bundesverwaltungsgericht, 2013-09-12, DE</w:t>
      </w:r>
    </w:p>
    <w:p>
      <w:r>
        <w:rPr>
          <w:b/>
        </w:rPr>
        <w:t xml:space="preserve">Quelle: </w:t>
      </w:r>
      <w:r>
        <w:t>https://mcp.opencaselaw.ch/entscheid/bvger_E-4954_2013</w:t>
      </w:r>
    </w:p>
    <w:p>
      <w:r>
        <w:t>FR: TAF E-4954/2013 du 12 septembre 2013</w:t>
      </w:r>
    </w:p>
    <w:p>
      <w:r>
        <w:t>IT: TAF E-4954/2013 del 12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Beschwerdeführerin beantragt in ihrer Beschwerde lediglich die Aufhebung der Verfügung betreffend den Wegweisungsvollzug (Ziffern 4 und 5 des Dispositivs). Die Verneinung der Flüchtlingseigenschaft, die Ablehnung des Asylgesuchs sind damit in Rechtskraft erwachsen und auch die Wegweisung an sich blieb damit unangefochten. Gegenstand des vorliegenden Beschwerdeverfahrens bildet somit die Prüfung, ob die Vorinstanz den Wegweisungsvollzug zu Recht angeordnet hat.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AsylG in Verbindung mit Art. 6a Abs. 2 Bst. a AsylG - um materielle negative Entscheide betreffend Asylsuchende aus verfolgungssicheren Staaten (sog. safe countries). Solche Entscheide werden ohne weitere Abklärungen erlassen, weil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Vorliegend hat die Vorinstanz Art. 108 Abs. 2 AsylG in der seit dem 29. Sep­tember 2012 geltenden Fassung auf den vorliegenden Fall zu Recht angewendet. Da der Beschwerdeführerin eine Beschwerdeerhebung innert der (verkürzten neuen) Frist möglich war, stand die Frist gemäss Art. 108 Abs. 2 AsylG einer sachgerechten Anfechtung nicht entgegen.</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Der Grundsatz der Nichtrückschiebung schützt nur Personen, die die Flüchtlingseigenschaft erfüllen. Da rechtskräftig feststeht,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Beschwerdeführerin noch aus den Akten Anhaltspunkte dafür, dass sie für den Fall einer Ausschaffung nach Kosovo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Dafür können den Akten keine Anhaltspunkte entnommen werden. Zudem sind die kosovarischen Behörden grundsätzlich schutzwillig und -fähig, womit der Beschwerdeführerin die Möglichkeit offensteht, die heimatliche Schutzinfrastruktur bei Bedarf in Anspruch zu nehmen. Es bestehen damit keine konkreten Gründe für die Annahme, die Beschwerdeführerin würde nach ihrer Rückkehr nach Kosovo einer menschenrechtswidrigen Behandlung ausgesetzt.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Unter Berücksichtigung der aktuellen politischen Lage, der Menschenrechtssituation sowie der allgemeinen Lebensumstände erweist sich eine Rückkehr nach Kosovo als zumutbar. In diesem Land herrscht keine Situation allgemeiner Gewalt; der Staat wurde mit Beschluss des Bundesrates vom 6. März 2009 in die Liste der so genannten safe countries gemäss Art. 6a Abs. 2 Bst. a AsylG aufgenommen. Zudem bringt die Beschwerdeführerin auch keine massgebenden individuellen Hindernisse gegen den Wegweisungsvollzug vor. Sie verfügt in ihrer Heimatregion mit ihren nahe Familienangehörigen (...) und mit ihrem Freundeskreis über ein familiäres und soziales Beziehungsnetz, weshalb sie nicht völlig auf sich allein gestellt ist und eine gesicherte Wohnsituation vorfinden wird. Ausserdem verfügt die Beschwerdeführerin über eine solide Schulbildung (vgl. Akten BFM A12/1 S. 4), was insgesamt darauf schliessen lässt, dass sie dort über eine Existenzmöglichkeit verfügt. Ferner ist davon auszugehen, dass sie auch an ihrem letzten Wohnort in Kosovo, wo sie bis zu ihrer Ausreise zusammen mit ihren (...) gelebt hat, über eine gesicherte Wohnsituation verfügt. Schliesslich leben (...) in Europa und (...) in den USA, die sie allenfalls finanziell unterstützen können. Darüber hinaus gibt es in Kosovo lokale Frauennetzwerke, die sich unter anderem auch für Anliegen der Frauen einsetzen, wie das BFM zu Recht festgestellt hat. Die Behauptung in der Beschwerde, die Beschwerdeführerin habe in ihrer Heimat kein soziales Netzwerk, findet im Übrigen keine Stütze in den Akten. Schliesslich ist die geltend gemachte sechsjährige Landesabwesenheit ebenso wenig ein Grund, welcher gegen die Rückkehr der Beschwerdeführerin in ihre Heimat spricht, zumal sie dort trotzdem den grösseren Teil ihres Lebens verbracht hat.</w:t>
      </w:r>
    </w:p>
    <w:p>
      <w:r>
        <w:rPr>
          <w:b/>
        </w:rPr>
        <w:t>E. 5.4</w:t>
      </w:r>
    </w:p>
    <w:p>
      <w:r>
        <w:t>Sodann ist festzuhalten, dass sich der Wegweisungsvollzug aus medizinischen Gründen dann als unzumutbar erweisen kann,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(vgl. BVGE 2009/2 E. 9.3.2 S. 21).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EMARK 2001 Nr. 16 E. 6b S. 123, EMARK 2003 Nr. 24 E. 5a und 5b S. 157 f.). Was die auf Beschwerdeebene geltend gemachten (nicht belegten) gesundheitlichen Probleme, namentlich ihre Depressionen, anbelangt, ist festzuhalten, dass die Beschwerdeführerin ihre angeblichen psychischen Leiden nicht weiter konkretisiert und diesbezüglich auch keine Beweismittel einreichte. Solche Angaben genügen jedoch nicht, um auf Unzumutbarkeit des Wegweisungsvollzugs zu schliessen. Zudem besteht in Kosovo grundsätzlich ein Gesundheitssystem, wenngleich eine medizinische Versorgung vor allem bei psychischen Erkrankung lediglich auf niedrigem Niveau vorhanden ist. Im Übrigen steht es ihr offen, im Hinblick auf einen zwangsweisen Wegweisungsvollzug mit geeigneten medizinischen Mass­nahmen und Betreuung entgegenzuwirken. Eine sorgfältige Vorbereitung ihrer Rückkehr in den Heimatstaat wird es ihr ermöglichen, die hinsichtlich ihrer nicht belegten Gesundheitsprobleme allenfalls benötigte ärztliche Versorgung zu organisieren.</w:t>
      </w:r>
    </w:p>
    <w:p>
      <w:r>
        <w:rPr>
          <w:b/>
        </w:rPr>
        <w:t>E. 5.5</w:t>
      </w:r>
    </w:p>
    <w:p>
      <w:r>
        <w:t>Nach dem Gesagten erweist sich der Vollzug der Wegweisung auch als zumutbar.</w:t>
      </w:r>
    </w:p>
    <w:p>
      <w:r>
        <w:rPr>
          <w:b/>
        </w:rPr>
        <w:t>E. 5.6</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5.7</w:t>
      </w:r>
    </w:p>
    <w:p>
      <w:r>
        <w:t>Zusammenfassend hat die Vorinstanz den Wegweisungsvollzug zu Recht als zulässig, zumutbar und möglich erachtet. Eine Anordnung der vorläufigen Aufnahme fällt somit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 Mit vorliegendem Direktentscheid wird das Gesuch um Erlass des Kostenvorschusses gegenstandslos.</w:t>
      </w:r>
    </w:p>
    <w:p>
      <w:r>
        <w:rPr>
          <w:b/>
        </w:rPr>
        <w:t>E. 6.1</w:t>
      </w:r>
    </w:p>
    <w:p>
      <w:r>
        <w:t>Das Gesuch um Gewährung der unentgeltlichen Prozessführung gemäss Art. 65 Abs. 1 VwVG ist, ungeachtet der Frage der prozessualen Bedürftigkeit, abzuweisen, da die Beschwerdebegehren nach dem Gesagten als aussichtslos zu erachten sind.</w:t>
      </w:r>
    </w:p>
    <w:p>
      <w:r>
        <w:rPr>
          <w:b/>
        </w:rPr>
        <w:t>E. 6.2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