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E-4954/2011 vom 16. September 2011</w:t>
      </w:r>
    </w:p>
    <w:p>
      <w:r>
        <w:t>Bundesverwaltungsgericht, 2011-09-16, DE</w:t>
      </w:r>
    </w:p>
    <w:p>
      <w:r>
        <w:rPr>
          <w:b/>
        </w:rPr>
        <w:t xml:space="preserve">Quelle: </w:t>
      </w:r>
      <w:r>
        <w:t>https://mcp.opencaselaw.ch/entscheid/bvger_E-4954_2011</w:t>
      </w:r>
    </w:p>
    <w:p>
      <w:r>
        <w:t>FR: TAF E-4954/2011 du 16 septembre 2011</w:t>
      </w:r>
    </w:p>
    <w:p>
      <w:r>
        <w:t>IT: TAF E-4954/2011 del 16 settembre 2011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 und die Verfügung des BFM vom 8. August 2011 wird aufgehoben.</w:t>
      </w:r>
    </w:p>
    <w:p>
      <w:r>
        <w:rPr>
          <w:b/>
        </w:rPr>
        <w:t>E. 2</w:t>
      </w:r>
    </w:p>
    <w:p>
      <w:r>
        <w:t>Die Sache wird zur Feststellung des vollständigen und richtigen Sachverhalts unter Durchführung einer Anhörung der Beschwerdeführerin zu ihren Asylgründen und zur anschliessenden Neubeurteilung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der Beschwerdeführerin für das Verfahren vor dem Bun­desverwaltungsgericht eine Parteientschädigung von Fr. 600. zu ent­richten.</w:t>
      </w:r>
    </w:p>
    <w:p>
      <w:r>
        <w:rPr>
          <w:b/>
        </w:rPr>
        <w:t>E. 5</w:t>
      </w:r>
    </w:p>
    <w:p>
      <w:r>
        <w:t>Dieses Urteil geht an die Beschwerdeführerin,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