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E-4950/2007 vom 5. April 2011</w:t>
      </w:r>
    </w:p>
    <w:p>
      <w:r>
        <w:t>Bundesverwaltungsgericht, 2011-04-05, DE</w:t>
      </w:r>
    </w:p>
    <w:p>
      <w:r>
        <w:rPr>
          <w:b/>
        </w:rPr>
        <w:t xml:space="preserve">Quelle: </w:t>
      </w:r>
      <w:r>
        <w:t>https://mcp.opencaselaw.ch/entscheid/bvger_E-4950_2007</w:t>
      </w:r>
    </w:p>
    <w:p>
      <w:r>
        <w:t>FR: TAF E-4950/2007 du 5 avril 2011</w:t>
      </w:r>
    </w:p>
    <w:p>
      <w:r>
        <w:t>IT: TAF E-4950/2007 del 5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Vorliegend ergibt sich aufgrund der Akten, dass die Vorinstanz in ihrer Verfügung vom 15. Juni 2007 zu Recht ausgeführt hat, den Beschwerdeführenden sei es nicht gelungen, eine asylrelevante Verfolgung oder eine begründete Furcht vor künftiger Verfolgung darzutun.</w:t>
      </w:r>
    </w:p>
    <w:p>
      <w:r>
        <w:rPr>
          <w:b/>
        </w:rPr>
        <w:t>E. 4.1.1</w:t>
      </w:r>
    </w:p>
    <w:p>
      <w:r>
        <w:t>Insbesondere ist in Übereinstimmung mit den Ausführungen des Bundesamtes in seiner Vernehmlassung vom 17. Februar 2011 darauf hinzuweisen, dass das am 7. August 2007 zur Stützung der Vorbringen eingereichte Dokument im Original (Beschwerde respektive Anzeige der Mutter der Beschwerdeführerin bei den afghanischen Behörden betreffend die Ermordung ihres Sohnes) - abgesehen von einem Stempel des (...), der nicht mit der ausstellenden Behörde übereinstimmt - kaum Sicherheitsmerkmale aufweist. Angesichts der Tatsache, dass die jeweiligen Abschnitte handschriftlich verfasst und unterschrieben sind, teilt das Bundesverwaltungsgericht die Auffassung der Vorinstanz, wonach dieses Dokument ohne weiteres auch blanko erworben und erst nachträglich von einer beliebigen Person ausgefüllt respektive ergänzt worden sein könnte. Die Entgegnung in der Replik vom 17. März 2011, der Beschwerdeführerin könne nicht vorgehalten werden, dass die zuständige afghanische Behörde das Dokument auf der ersten Seite statt auf der Rückseite abgestempelt habe, erweist sich angesichts der Tatsache, dass der Stempel vom (...) und nicht von der ausstellenden Behörde stammt, als unbehelflich. Als zutreffend erweist sich sodann der Hinweis des BFM, das Dokument solle zwar aus dem Jahre (...) stammen, aber die Beschwerdeführerin habe anlässlich der Befragungen behauptet, die Behörden hätten den Tod ihres Bruders nicht untersucht, und sie habe keine Beweismittel zu diesem Sachverhalt (vgl. Akten BFM A2/10 S. 6 und A30/15 S. 11). Die diesbezügliche Entgegnung, die Beschwerdeführerin habe bei den Befragungen noch keine Kenntnis von diesem Beweisstück gehabt, erweist sich nicht nur aufgrund ihrer Aussagen, sondern auch deshalb als wenig stichhaltig, weil davon auszugehen ist, sie habe bereits vor der am 30. November 2006 erfolgten Anhörung Kontakt zu ihrer damals noch in Kabul wohnhaft gewesenen Mutter gehabt, und dies umso mehr, als die Beschwerdeführerin aussagte, ihre nach Afghanistan zurückgekehrte Mutter habe sie im Iran kontaktiert und von einer Rückreise abgeraten, weil sich die Leute, die ihren Bruder ermordet hätten, auch nach ihr und ihren Geschwistern erkundigt hätten (vgl. A30/15 S. 9). Des Weiteren passt der vierte Abschnitt des vorerwähnten Dokuments, wie vom Bundesamt dargelegt, in der Tat nicht zu den anderen Abschnitte. Wie das Bundesamt zutreffend ausführt, beinhalten die drei ersten Abschnitte das Ersuchen der Mutter der Beschwerdeführerin und dessen Beantwortung, weshalb der vierte Abschnitt überflüssig erscheint. Es mutet unverständlich an, dass eine afghanische Behörde zuerst ein zusammenfassendes, im amtlichen Stil verfasstes Untersuchungsergebnis (...) verfasst und anschliessend in einem zusätzlichen (vierten) Abschnitt noch exakt die Asylvorbringen der Beschwerdeführerin als Kommentar wiedergegeben haben soll. Der Kommentar enthält zudem wenig amtlich wirkende Bemerkungen über erbarmungslose und kriminelle Taliban, die Leute zu Tode gefoltert hätten, und darüber, dass es keine Vergeltung für das geflossene Blut geben werde. Vor diesem Hintergrund erweist sich das Vorbringen in der Replik, die Übereinstimmung des vierten Abschnitts mit den Asylvorbringen der Beschwerdeführerin zeige, dass ihre Angaben der Wahrheit entspreche, als nicht überzeugend und konstruiert. Gleich verhält es sich mit dem weiteren Vorbringen, die Anklageschrift sei auf (...) datiert, was für deren Echtheit spreche, zumal bei einem gekauften und gefälschten Dokument davon auszugehen wäre, dass die Behörden das Schriftstück auf einen aktuellen und späteren Zeitpunkt datiert hätten. Angesichts der vom Bundesamt zu Recht aufgezeigten Unstimmigkeiten ist das Dokument nicht geeignet, den geltend gemachten Sachverhalt (angebliche Ermordung des Bruders der Beschwerdeführerin) zu belegen respektive glaubhaft zu machen. Unbesehen davon wäre selbst bei der Annahme, der geltend gemachte Sachverhalt habe sich tatsächlich so zugetragen, in keiner Weise nachvollziehbar, dass sich die Mutter nach ihrer Anzeige bei den afghanischen Behörden im Jahre (...) noch mehrere Jahre ohne Behelligungen seitens der mutmasslichen Mörder ihres Sohnes in Kabul aufgehalten haben will.</w:t>
      </w:r>
    </w:p>
    <w:p>
      <w:r>
        <w:rPr>
          <w:b/>
        </w:rPr>
        <w:t>E. 4.1.2</w:t>
      </w:r>
    </w:p>
    <w:p>
      <w:r>
        <w:t>Auch ist hinsichtlich des mit Eingabe vom 15. September 2009 - unter Verweis auf gleichzeitig eingereichte Beweismittel (...) - neu geltend gemachten Vorbringens, die Beschwerdeführerin habe (...) telefonisch an dieser Sendung teilgenommen und dabei die Vorgehensweise der Regierung von Staatspräsident Hamid Karzai kritisiert, gemäss der Übersetzungsabschrift der Sendung festzustellen, dass die Beschwerdeführerin dort lediglich mit ihrem Vornamen und dem Zusatz, sie rufe aus der Schweiz an, erwähnt wurde. Damit bestehen offensichtlich keine Anhaltspunkte dafür, die Beschwerdeführerin sei allein aufgrund ihres Vornamens und ihres Anrufes aus der Schweiz von den afghanischen Behörden identifiziert worden und sie habe wegen ihrer regierungskritischen Äusserungen im Interview subjektive Nachfluchtgründe verwirklicht.</w:t>
      </w:r>
    </w:p>
    <w:p>
      <w:r>
        <w:rPr>
          <w:b/>
        </w:rPr>
        <w:t>E. 4.1.3</w:t>
      </w:r>
    </w:p>
    <w:p>
      <w:r>
        <w:t>Schliesslich vermögen die Beschwerdeführenden auch mit dem weiteren Vorbringen in der Eingabe vom 15. September 2009, die Mutter der Beschwerdeführerin habe vor (...) Afghanistan wegen Belästigungen und Drohungen verlassen müssen und sei zu ihrer Tochter und ihrem Sohn nach (...) geflüchtet, keine asylrelevanten Nachteile im Sinne des Asylgesetzes darzutun. Dazu ist vorab festzustellen, dass es sich um eine nicht weiter substanziierte Behauptung handelt. Des Weiteren kann zur Vermeidung von Wiederholungen auf die bereits in Erwägung 4.1.1. gemachten Ausführungen verwiesen werden, und bei Annahme der Authentizität dieses Vorbringens ist überdies festzuhalten, dass die angebliche Ausreise der Mutter der Beschwerdeführerin durchaus aus anderen Gründen als den geltend gemachten erfolgt sein kann.</w:t>
      </w:r>
    </w:p>
    <w:p>
      <w:r>
        <w:rPr>
          <w:b/>
        </w:rPr>
        <w:t>E. 4.2</w:t>
      </w:r>
    </w:p>
    <w:p>
      <w:r>
        <w:t>Aufgrund der vorstehenden Erwägungen erübrigt sich eine Ausein­andersetzung mit den anderen Ausführungen auf Beschwerdeebene und den zur Stützung der Vorbringen eingereichten weiteren Dokumenten, weil sie am Ergebnis nichts ändern können. Zusammenfassend folgt, dass die Beschwerdeführenden keine Gründe nach Art. 3 AsylG nachweisen oder glaubhaft machen konnten. Die Vorinstanz hat ihre Asylgesuche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Entscheidungen und Mitteilungen der [vormaligen]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Das BFM hat am 31. August 2009 im Rahmen eines weiteren Schriftenwechsels die Ziffern 4 und 5 des Dispositivs der angefochtenen Verfügung vom 15. Juni 2007 wiedererwägungsweise aufgehoben und die Beschwerdeführenden wegen Unzumutbarkeit des Wegweisungsvollzugs vorläufig aufgenommen. Damit ist die Beschwerde im Vollzugspunkt infolge Wegfalls des Anfechtungsobjektes gegenstandslos geworden; Erörterungen zum Gesundheitszustand der Beschwerdeführenden und zur Durchführbarkeit des Vollzugs der Wegweisung erübrigen sich somit (vgl. EMARK 2006 Nr. 6 E. 4.2.).</w:t>
      </w:r>
    </w:p>
    <w:p>
      <w:r>
        <w:rPr>
          <w:b/>
        </w:rPr>
        <w:t>E. 7</w:t>
      </w:r>
    </w:p>
    <w:p>
      <w:r>
        <w:t>Aus diesen Erwägungen ergibt sich, dass es den Beschwerdeführenden hinsichtlich der Frage der Zuerkennung der Flüchtlingseigenschaft, der Gewährung von Asyl und der Wegweisung nicht gelungen ist darzutun, inwiefern die angefochtene Verfügung Bundesrecht verletzt, den rechtserheblichen Sachverhalt unrichtig und unvollständig feststellt oder unangemessen ist (Art. 106 AsylG). Die Beschwerde ist nach dem Gesagten, soweit nicht gegenstandslos geworden, abzuweisen.</w:t>
      </w:r>
    </w:p>
    <w:p>
      <w:r>
        <w:rPr>
          <w:b/>
        </w:rPr>
        <w:t>E. 8.1</w:t>
      </w:r>
    </w:p>
    <w:p>
      <w:r>
        <w:t>Nachdem das BFM am 31. August 2009 die Ziffern 4 und 5 des Dispositivs der angefochtenen Verfügung vom 15. Juni 2007 wiedererwägungsweise aufgehoben hat, sind insoweit keine Verfahrenskosten zu erheben (Art. 63 Abs. 1 und 2 VwVG). Aus den Akten ergibt sich, dass der Beschwerdeführer seit dem (...) einer Erwerbstätigkeit als (...) nachgeht, weshalb nicht mehr von der Prozessbedürftigkeit der Beschwerdeführenden ausgegangen werden kann. Der Antrag auf Gewährung der unentgeltlichen Rechtspflege (Art. 65 Abs. 1 VwVG) ist deshalb abzuweisen und die um die Hälfte reduzierten Verfahrenskosten von 300.- sind den Beschwerdeführenden aufzuerlegen (Art. 63 Abs. 1 VwVG).</w:t>
      </w:r>
    </w:p>
    <w:p>
      <w:r>
        <w:rPr>
          <w:b/>
        </w:rPr>
        <w:t>E. 8.2</w:t>
      </w:r>
    </w:p>
    <w:p>
      <w:r>
        <w:t>Angesichts des faktischen Obsiegens im Vollzugspunkt steht den Beschwerdeführenden eine um die Hälfte gekürzte Parteientschädigung zu (Art. 64 Abs. 1 VwVG). Der in der Kostennote der ersten Rechtsvertretung vom 18. Juli 2007 ausgewiesene Betrag von Fr. 850.- erscheint angemessen (vgl. Art. 10 des Reglements vom 21. Februar 2008 über die Kosten und Entschädigungen vor dem Bundesverwaltungsgericht [VGKE, SR 173.320.2]). Seitens der zweiten Rechtsvertretung liegt keine Kostennote vor, weshalb die diesbezügliche Entschädigung für das Beschwerdeverfahren aufgrund der Akten festzusetzen ist (Art. 14 Abs. 2 in fine VGKE). Unter Berücksichtigung der massgebenden Bemessungsfaktoren (Art. 9 - 13 VGKE) und der Entschädigungspraxis in Vergleichsfällen ist das BFM anzuweisen, den Beschwerdeführenden für das Rechtsmittelverfahren eine reduzierte Parteientschädigung in der Höhe von pauschal Fr. 800. (inkl. Auslagen und allfälliger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